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51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7663"/>
      </w:tblGrid>
      <w:tr w:rsidR="00146E45" w:rsidRPr="00A33483" w14:paraId="3E9AC680" w14:textId="77777777" w:rsidTr="00980C99">
        <w:tc>
          <w:tcPr>
            <w:tcW w:w="2830" w:type="dxa"/>
          </w:tcPr>
          <w:p w14:paraId="4C1F0700" w14:textId="77777777" w:rsidR="00146E45" w:rsidRDefault="00146E45"/>
        </w:tc>
        <w:tc>
          <w:tcPr>
            <w:tcW w:w="7656" w:type="dxa"/>
            <w:vMerge w:val="restart"/>
            <w:shd w:val="clear" w:color="auto" w:fill="808080" w:themeFill="background1" w:themeFillShade="80"/>
          </w:tcPr>
          <w:p w14:paraId="5D5C7253" w14:textId="3BA21255" w:rsidR="00146E45" w:rsidRPr="00A33483" w:rsidRDefault="00146E45">
            <w:pPr>
              <w:rPr>
                <w:rFonts w:ascii="Barlow" w:hAnsi="Barlow"/>
                <w:sz w:val="96"/>
                <w:szCs w:val="96"/>
              </w:rPr>
            </w:pPr>
            <w:r w:rsidRPr="00A33483">
              <w:rPr>
                <w:rFonts w:ascii="Barlow" w:hAnsi="Barlow"/>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FIAD 20</w:t>
            </w:r>
            <w:r w:rsidR="002516B6">
              <w:rPr>
                <w:rFonts w:ascii="Barlow" w:hAnsi="Barlow"/>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w:t>
            </w:r>
            <w:r w:rsidR="006336E9">
              <w:rPr>
                <w:rFonts w:ascii="Barlow" w:hAnsi="Barlow"/>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3</w:t>
            </w:r>
            <w:r w:rsidRPr="00A33483">
              <w:rPr>
                <w:rFonts w:ascii="Barlow" w:hAnsi="Barlow"/>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- 202</w:t>
            </w:r>
            <w:r w:rsidR="006336E9">
              <w:rPr>
                <w:rFonts w:ascii="Barlow" w:hAnsi="Barlow"/>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p>
        </w:tc>
      </w:tr>
      <w:tr w:rsidR="00146E45" w:rsidRPr="00A33483" w14:paraId="5CCC91A5" w14:textId="77777777" w:rsidTr="00980C99">
        <w:tc>
          <w:tcPr>
            <w:tcW w:w="2830" w:type="dxa"/>
          </w:tcPr>
          <w:p w14:paraId="52BDE900" w14:textId="77777777" w:rsidR="00146E45" w:rsidRDefault="00146E45"/>
        </w:tc>
        <w:tc>
          <w:tcPr>
            <w:tcW w:w="7656" w:type="dxa"/>
            <w:vMerge/>
            <w:shd w:val="clear" w:color="auto" w:fill="808080" w:themeFill="background1" w:themeFillShade="80"/>
          </w:tcPr>
          <w:p w14:paraId="5AA0904C" w14:textId="77777777" w:rsidR="00146E45" w:rsidRPr="00A33483" w:rsidRDefault="00146E45"/>
        </w:tc>
      </w:tr>
      <w:tr w:rsidR="00146E45" w14:paraId="27286234" w14:textId="77777777" w:rsidTr="00980C99">
        <w:tc>
          <w:tcPr>
            <w:tcW w:w="2830" w:type="dxa"/>
          </w:tcPr>
          <w:p w14:paraId="2EFC3F35" w14:textId="77777777" w:rsidR="00146E45" w:rsidRDefault="00146E45">
            <w:r>
              <w:rPr>
                <w:noProof/>
              </w:rPr>
              <w:drawing>
                <wp:anchor distT="0" distB="0" distL="114300" distR="114300" simplePos="0" relativeHeight="251661312" behindDoc="0" locked="0" layoutInCell="1" allowOverlap="1" wp14:anchorId="7670ADCD" wp14:editId="5BC89113">
                  <wp:simplePos x="0" y="0"/>
                  <wp:positionH relativeFrom="column">
                    <wp:posOffset>-59690</wp:posOffset>
                  </wp:positionH>
                  <wp:positionV relativeFrom="paragraph">
                    <wp:posOffset>-373380</wp:posOffset>
                  </wp:positionV>
                  <wp:extent cx="1809623" cy="873951"/>
                  <wp:effectExtent l="0" t="0" r="0" b="0"/>
                  <wp:wrapNone/>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5"/>
                          <a:stretch>
                            <a:fillRect/>
                          </a:stretch>
                        </pic:blipFill>
                        <pic:spPr>
                          <a:xfrm>
                            <a:off x="0" y="0"/>
                            <a:ext cx="1809623" cy="873951"/>
                          </a:xfrm>
                          <a:prstGeom prst="rect">
                            <a:avLst/>
                          </a:prstGeom>
                        </pic:spPr>
                      </pic:pic>
                    </a:graphicData>
                  </a:graphic>
                </wp:anchor>
              </w:drawing>
            </w:r>
          </w:p>
        </w:tc>
        <w:tc>
          <w:tcPr>
            <w:tcW w:w="7656" w:type="dxa"/>
            <w:vMerge/>
            <w:shd w:val="clear" w:color="auto" w:fill="808080" w:themeFill="background1" w:themeFillShade="80"/>
          </w:tcPr>
          <w:p w14:paraId="1E11AD0C" w14:textId="77777777" w:rsidR="00146E45" w:rsidRDefault="00146E45"/>
        </w:tc>
      </w:tr>
    </w:tbl>
    <w:p w14:paraId="534C2B3F" w14:textId="77777777" w:rsidR="00185ED5" w:rsidRDefault="00185ED5"/>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6803"/>
        <w:gridCol w:w="1701"/>
      </w:tblGrid>
      <w:tr w:rsidR="00051249" w:rsidRPr="002516B6" w14:paraId="5056066D" w14:textId="77777777" w:rsidTr="00980C99">
        <w:tc>
          <w:tcPr>
            <w:tcW w:w="1699" w:type="dxa"/>
          </w:tcPr>
          <w:p w14:paraId="2C23FF3B" w14:textId="77777777" w:rsidR="00051249" w:rsidRPr="002516B6" w:rsidRDefault="00051249">
            <w:pPr>
              <w:rPr>
                <w:rFonts w:ascii="Rockwell" w:hAnsi="Rockwell"/>
              </w:rPr>
            </w:pPr>
          </w:p>
        </w:tc>
        <w:tc>
          <w:tcPr>
            <w:tcW w:w="6796" w:type="dxa"/>
            <w:shd w:val="clear" w:color="auto" w:fill="D9D9D9" w:themeFill="background1" w:themeFillShade="D9"/>
          </w:tcPr>
          <w:p w14:paraId="7C03511F" w14:textId="77777777" w:rsidR="00051249" w:rsidRPr="006F720A" w:rsidRDefault="00051249" w:rsidP="006F720A">
            <w:pPr>
              <w:jc w:val="center"/>
              <w:rPr>
                <w:rFonts w:ascii="Rockwell" w:hAnsi="Rockwell"/>
                <w:b/>
                <w:sz w:val="28"/>
                <w:szCs w:val="28"/>
              </w:rPr>
            </w:pPr>
            <w:r w:rsidRPr="006F720A">
              <w:rPr>
                <w:rFonts w:ascii="Rockwell" w:hAnsi="Rockwell"/>
                <w:b/>
                <w:sz w:val="28"/>
                <w:szCs w:val="28"/>
              </w:rPr>
              <w:t>Financiële en Administratieve Verplichtingen</w:t>
            </w:r>
          </w:p>
        </w:tc>
        <w:tc>
          <w:tcPr>
            <w:tcW w:w="1699" w:type="dxa"/>
          </w:tcPr>
          <w:p w14:paraId="264C1889" w14:textId="77777777" w:rsidR="00051249" w:rsidRPr="002516B6" w:rsidRDefault="00051249">
            <w:pPr>
              <w:rPr>
                <w:rFonts w:ascii="Rockwell" w:hAnsi="Rockwell"/>
              </w:rPr>
            </w:pPr>
          </w:p>
        </w:tc>
      </w:tr>
      <w:tr w:rsidR="00051249" w:rsidRPr="002516B6" w14:paraId="5B959C98" w14:textId="77777777" w:rsidTr="00980C99">
        <w:trPr>
          <w:trHeight w:hRule="exact" w:val="397"/>
        </w:trPr>
        <w:tc>
          <w:tcPr>
            <w:tcW w:w="1699" w:type="dxa"/>
          </w:tcPr>
          <w:p w14:paraId="0F416874" w14:textId="77777777" w:rsidR="00051249" w:rsidRPr="002516B6" w:rsidRDefault="00051249" w:rsidP="00051249">
            <w:pPr>
              <w:jc w:val="center"/>
              <w:rPr>
                <w:rFonts w:ascii="Rockwell" w:hAnsi="Rockwell"/>
              </w:rPr>
            </w:pPr>
          </w:p>
        </w:tc>
        <w:tc>
          <w:tcPr>
            <w:tcW w:w="6796" w:type="dxa"/>
            <w:shd w:val="clear" w:color="auto" w:fill="D9D9D9" w:themeFill="background1" w:themeFillShade="D9"/>
          </w:tcPr>
          <w:p w14:paraId="5B50F059" w14:textId="6CA093B2" w:rsidR="00051249" w:rsidRPr="002516B6" w:rsidRDefault="00051249" w:rsidP="00051249">
            <w:pPr>
              <w:jc w:val="center"/>
              <w:rPr>
                <w:rFonts w:ascii="Rockwell" w:hAnsi="Rockwell"/>
              </w:rPr>
            </w:pPr>
            <w:r w:rsidRPr="002516B6">
              <w:rPr>
                <w:rFonts w:ascii="Rockwell" w:hAnsi="Rockwell"/>
              </w:rPr>
              <w:t xml:space="preserve">Goedgekeurd door de Raad van Bestuur op </w:t>
            </w:r>
            <w:r w:rsidR="006336E9">
              <w:rPr>
                <w:rFonts w:ascii="Rockwell" w:hAnsi="Rockwell"/>
              </w:rPr>
              <w:t>18</w:t>
            </w:r>
            <w:r w:rsidRPr="002516B6">
              <w:rPr>
                <w:rFonts w:ascii="Rockwell" w:hAnsi="Rockwell"/>
              </w:rPr>
              <w:t xml:space="preserve"> </w:t>
            </w:r>
            <w:r w:rsidR="006336E9">
              <w:rPr>
                <w:rFonts w:ascii="Rockwell" w:hAnsi="Rockwell"/>
              </w:rPr>
              <w:t>januari</w:t>
            </w:r>
            <w:r w:rsidRPr="002516B6">
              <w:rPr>
                <w:rFonts w:ascii="Rockwell" w:hAnsi="Rockwell"/>
              </w:rPr>
              <w:t xml:space="preserve"> 20</w:t>
            </w:r>
            <w:r w:rsidR="002516B6" w:rsidRPr="002516B6">
              <w:rPr>
                <w:rFonts w:ascii="Rockwell" w:hAnsi="Rockwell"/>
              </w:rPr>
              <w:t>2</w:t>
            </w:r>
            <w:r w:rsidR="006336E9">
              <w:rPr>
                <w:rFonts w:ascii="Rockwell" w:hAnsi="Rockwell"/>
              </w:rPr>
              <w:t>3</w:t>
            </w:r>
          </w:p>
        </w:tc>
        <w:tc>
          <w:tcPr>
            <w:tcW w:w="1699" w:type="dxa"/>
          </w:tcPr>
          <w:p w14:paraId="4B2167BD" w14:textId="77777777" w:rsidR="00051249" w:rsidRPr="002516B6" w:rsidRDefault="00051249">
            <w:pPr>
              <w:rPr>
                <w:rFonts w:ascii="Rockwell" w:hAnsi="Rockwell"/>
              </w:rPr>
            </w:pPr>
          </w:p>
        </w:tc>
      </w:tr>
    </w:tbl>
    <w:p w14:paraId="15A55261" w14:textId="77777777" w:rsidR="00051249" w:rsidRPr="002516B6" w:rsidRDefault="00051249">
      <w:pPr>
        <w:rPr>
          <w:rFonts w:ascii="Rockwell" w:hAnsi="Rockwel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10194"/>
      </w:tblGrid>
      <w:tr w:rsidR="007465C4" w:rsidRPr="002516B6" w14:paraId="3D3A7EE4" w14:textId="77777777" w:rsidTr="00C93581">
        <w:trPr>
          <w:trHeight w:val="454"/>
        </w:trPr>
        <w:tc>
          <w:tcPr>
            <w:tcW w:w="10194" w:type="dxa"/>
            <w:shd w:val="clear" w:color="auto" w:fill="404040" w:themeFill="text1" w:themeFillTint="BF"/>
          </w:tcPr>
          <w:p w14:paraId="025620F1" w14:textId="77777777" w:rsidR="007465C4" w:rsidRPr="006F720A" w:rsidRDefault="007465C4" w:rsidP="007465C4">
            <w:pPr>
              <w:pStyle w:val="Lijstalinea"/>
              <w:numPr>
                <w:ilvl w:val="0"/>
                <w:numId w:val="3"/>
              </w:numPr>
              <w:jc w:val="center"/>
              <w:rPr>
                <w:rFonts w:ascii="Rockwell" w:hAnsi="Rockwell"/>
                <w:b/>
                <w:color w:val="FFFFFF" w:themeColor="background1"/>
                <w:sz w:val="28"/>
                <w:szCs w:val="28"/>
              </w:rPr>
            </w:pPr>
            <w:r w:rsidRPr="006F720A">
              <w:rPr>
                <w:rFonts w:ascii="Rockwell" w:hAnsi="Rockwell"/>
                <w:b/>
                <w:color w:val="FFFFFF" w:themeColor="background1"/>
                <w:sz w:val="28"/>
                <w:szCs w:val="28"/>
              </w:rPr>
              <w:t>OVERZICHT FINANCIELE VERPLICHTINGEN</w:t>
            </w:r>
          </w:p>
        </w:tc>
      </w:tr>
    </w:tbl>
    <w:p w14:paraId="0822B34C" w14:textId="77777777" w:rsidR="007465C4" w:rsidRPr="002516B6" w:rsidRDefault="007465C4" w:rsidP="007465C4">
      <w:pPr>
        <w:pStyle w:val="Lijstalinea"/>
        <w:ind w:left="360"/>
        <w:rPr>
          <w:rFonts w:ascii="Rockwell" w:hAnsi="Rockwell"/>
        </w:rPr>
      </w:pPr>
    </w:p>
    <w:tbl>
      <w:tblPr>
        <w:tblStyle w:val="Tabelraster"/>
        <w:tblW w:w="5000" w:type="pct"/>
        <w:tblBorders>
          <w:insideH w:val="single" w:sz="6" w:space="0" w:color="auto"/>
          <w:insideV w:val="single" w:sz="6" w:space="0" w:color="auto"/>
        </w:tblBorders>
        <w:tblLayout w:type="fixed"/>
        <w:tblLook w:val="04A0" w:firstRow="1" w:lastRow="0" w:firstColumn="1" w:lastColumn="0" w:noHBand="0" w:noVBand="1"/>
      </w:tblPr>
      <w:tblGrid>
        <w:gridCol w:w="506"/>
        <w:gridCol w:w="1337"/>
        <w:gridCol w:w="4253"/>
        <w:gridCol w:w="1701"/>
        <w:gridCol w:w="2407"/>
      </w:tblGrid>
      <w:tr w:rsidR="007465C4" w:rsidRPr="002516B6" w14:paraId="7591061C" w14:textId="77777777" w:rsidTr="00615414">
        <w:trPr>
          <w:trHeight w:val="454"/>
        </w:trPr>
        <w:tc>
          <w:tcPr>
            <w:tcW w:w="7797" w:type="dxa"/>
            <w:gridSpan w:val="4"/>
            <w:tcBorders>
              <w:top w:val="nil"/>
              <w:left w:val="nil"/>
              <w:bottom w:val="nil"/>
              <w:right w:val="nil"/>
            </w:tcBorders>
          </w:tcPr>
          <w:p w14:paraId="36451326" w14:textId="77777777" w:rsidR="007465C4" w:rsidRPr="002516B6" w:rsidRDefault="007465C4" w:rsidP="007465C4">
            <w:pPr>
              <w:pStyle w:val="Lijstalinea"/>
              <w:ind w:left="0"/>
              <w:rPr>
                <w:rFonts w:ascii="Rockwell" w:hAnsi="Rockwell"/>
                <w:b/>
                <w:u w:val="single"/>
              </w:rPr>
            </w:pPr>
            <w:r w:rsidRPr="002516B6">
              <w:rPr>
                <w:rFonts w:ascii="Rockwell" w:hAnsi="Rockwell"/>
                <w:b/>
                <w:u w:val="single"/>
              </w:rPr>
              <w:t>1.1 SEIZOEN</w:t>
            </w:r>
          </w:p>
        </w:tc>
        <w:tc>
          <w:tcPr>
            <w:tcW w:w="2407" w:type="dxa"/>
            <w:tcBorders>
              <w:top w:val="nil"/>
              <w:left w:val="nil"/>
              <w:bottom w:val="nil"/>
              <w:right w:val="nil"/>
            </w:tcBorders>
          </w:tcPr>
          <w:p w14:paraId="12FC568C" w14:textId="77777777" w:rsidR="007465C4" w:rsidRPr="002516B6" w:rsidRDefault="007465C4" w:rsidP="007465C4">
            <w:pPr>
              <w:pStyle w:val="Lijstalinea"/>
              <w:ind w:left="0"/>
              <w:rPr>
                <w:rFonts w:ascii="Rockwell" w:hAnsi="Rockwell"/>
              </w:rPr>
            </w:pPr>
          </w:p>
        </w:tc>
      </w:tr>
      <w:tr w:rsidR="007465C4" w:rsidRPr="002516B6" w14:paraId="752A159F" w14:textId="77777777" w:rsidTr="00615414">
        <w:trPr>
          <w:trHeight w:val="454"/>
        </w:trPr>
        <w:tc>
          <w:tcPr>
            <w:tcW w:w="506" w:type="dxa"/>
            <w:tcBorders>
              <w:top w:val="nil"/>
              <w:left w:val="nil"/>
              <w:bottom w:val="nil"/>
              <w:right w:val="nil"/>
            </w:tcBorders>
          </w:tcPr>
          <w:p w14:paraId="57A4446D" w14:textId="77777777" w:rsidR="007465C4" w:rsidRPr="002516B6" w:rsidRDefault="007465C4" w:rsidP="007465C4">
            <w:pPr>
              <w:pStyle w:val="Lijstalinea"/>
              <w:ind w:left="0"/>
              <w:rPr>
                <w:rFonts w:ascii="Rockwell" w:hAnsi="Rockwell"/>
              </w:rPr>
            </w:pPr>
          </w:p>
        </w:tc>
        <w:tc>
          <w:tcPr>
            <w:tcW w:w="7291" w:type="dxa"/>
            <w:gridSpan w:val="3"/>
            <w:tcBorders>
              <w:top w:val="nil"/>
              <w:left w:val="nil"/>
              <w:bottom w:val="nil"/>
              <w:right w:val="nil"/>
            </w:tcBorders>
            <w:vAlign w:val="center"/>
          </w:tcPr>
          <w:p w14:paraId="53E1E4EF" w14:textId="77777777" w:rsidR="007465C4" w:rsidRPr="002516B6" w:rsidRDefault="0091558E" w:rsidP="008B77AB">
            <w:pPr>
              <w:rPr>
                <w:rFonts w:ascii="Rockwell" w:hAnsi="Rockwell"/>
              </w:rPr>
            </w:pPr>
            <w:r w:rsidRPr="002516B6">
              <w:rPr>
                <w:rFonts w:ascii="Rockwell" w:hAnsi="Rockwell"/>
              </w:rPr>
              <w:t>Een seizoen loopt van 1 juli tot 30 juni van het volgende jaar.</w:t>
            </w:r>
          </w:p>
        </w:tc>
        <w:tc>
          <w:tcPr>
            <w:tcW w:w="2407" w:type="dxa"/>
            <w:tcBorders>
              <w:top w:val="nil"/>
              <w:left w:val="nil"/>
              <w:bottom w:val="nil"/>
              <w:right w:val="nil"/>
            </w:tcBorders>
          </w:tcPr>
          <w:p w14:paraId="1C188EC6" w14:textId="77777777" w:rsidR="007465C4" w:rsidRPr="002516B6" w:rsidRDefault="007465C4" w:rsidP="007465C4">
            <w:pPr>
              <w:pStyle w:val="Lijstalinea"/>
              <w:ind w:left="0"/>
              <w:rPr>
                <w:rFonts w:ascii="Rockwell" w:hAnsi="Rockwell"/>
              </w:rPr>
            </w:pPr>
          </w:p>
        </w:tc>
      </w:tr>
      <w:tr w:rsidR="008B77AB" w:rsidRPr="002516B6" w14:paraId="169EFDD3" w14:textId="77777777" w:rsidTr="00615414">
        <w:trPr>
          <w:trHeight w:val="454"/>
        </w:trPr>
        <w:tc>
          <w:tcPr>
            <w:tcW w:w="7797" w:type="dxa"/>
            <w:gridSpan w:val="4"/>
            <w:tcBorders>
              <w:top w:val="nil"/>
              <w:left w:val="nil"/>
              <w:bottom w:val="nil"/>
              <w:right w:val="nil"/>
            </w:tcBorders>
          </w:tcPr>
          <w:p w14:paraId="6A8C70D7" w14:textId="77777777" w:rsidR="008B77AB" w:rsidRPr="002516B6" w:rsidRDefault="008B77AB" w:rsidP="008B77AB">
            <w:pPr>
              <w:rPr>
                <w:rFonts w:ascii="Rockwell" w:hAnsi="Rockwell"/>
                <w:b/>
              </w:rPr>
            </w:pPr>
            <w:r w:rsidRPr="002516B6">
              <w:rPr>
                <w:rFonts w:ascii="Rockwell" w:hAnsi="Rockwell"/>
                <w:b/>
                <w:u w:val="single"/>
              </w:rPr>
              <w:t>1.2. BIJDRAGEN PER SEIZOEN</w:t>
            </w:r>
          </w:p>
        </w:tc>
        <w:tc>
          <w:tcPr>
            <w:tcW w:w="2407" w:type="dxa"/>
            <w:tcBorders>
              <w:top w:val="nil"/>
              <w:left w:val="nil"/>
              <w:bottom w:val="nil"/>
              <w:right w:val="nil"/>
            </w:tcBorders>
          </w:tcPr>
          <w:p w14:paraId="28D1E084" w14:textId="77777777" w:rsidR="008B77AB" w:rsidRPr="002516B6" w:rsidRDefault="008B77AB" w:rsidP="007465C4">
            <w:pPr>
              <w:pStyle w:val="Lijstalinea"/>
              <w:ind w:left="0"/>
              <w:rPr>
                <w:rFonts w:ascii="Rockwell" w:hAnsi="Rockwell"/>
              </w:rPr>
            </w:pPr>
          </w:p>
        </w:tc>
      </w:tr>
      <w:tr w:rsidR="008B77AB" w:rsidRPr="002516B6" w14:paraId="503341D1" w14:textId="77777777" w:rsidTr="00615414">
        <w:trPr>
          <w:trHeight w:val="454"/>
        </w:trPr>
        <w:tc>
          <w:tcPr>
            <w:tcW w:w="7797" w:type="dxa"/>
            <w:gridSpan w:val="4"/>
            <w:tcBorders>
              <w:top w:val="nil"/>
              <w:left w:val="nil"/>
              <w:bottom w:val="nil"/>
              <w:right w:val="nil"/>
            </w:tcBorders>
          </w:tcPr>
          <w:p w14:paraId="6C7C4145" w14:textId="77777777" w:rsidR="008B77AB" w:rsidRPr="002516B6" w:rsidRDefault="008B77AB" w:rsidP="008B77AB">
            <w:pPr>
              <w:rPr>
                <w:rFonts w:ascii="Rockwell" w:hAnsi="Rockwell"/>
              </w:rPr>
            </w:pPr>
            <w:r w:rsidRPr="002516B6">
              <w:rPr>
                <w:rFonts w:ascii="Rockwell" w:hAnsi="Rockwell"/>
              </w:rPr>
              <w:t>1.2.1. BIJDRAGEN VOOR GEREGISTREERDE SPELERS</w:t>
            </w:r>
          </w:p>
        </w:tc>
        <w:tc>
          <w:tcPr>
            <w:tcW w:w="2407" w:type="dxa"/>
            <w:tcBorders>
              <w:top w:val="nil"/>
              <w:left w:val="nil"/>
              <w:bottom w:val="nil"/>
              <w:right w:val="nil"/>
            </w:tcBorders>
          </w:tcPr>
          <w:p w14:paraId="75E0E80D" w14:textId="77777777" w:rsidR="008B77AB" w:rsidRPr="002516B6" w:rsidRDefault="008B77AB" w:rsidP="007465C4">
            <w:pPr>
              <w:pStyle w:val="Lijstalinea"/>
              <w:ind w:left="0"/>
              <w:rPr>
                <w:rFonts w:ascii="Rockwell" w:hAnsi="Rockwell"/>
              </w:rPr>
            </w:pPr>
          </w:p>
        </w:tc>
      </w:tr>
      <w:tr w:rsidR="000F0A4C" w:rsidRPr="002516B6" w14:paraId="28167B57" w14:textId="77777777" w:rsidTr="00615414">
        <w:trPr>
          <w:trHeight w:val="454"/>
        </w:trPr>
        <w:tc>
          <w:tcPr>
            <w:tcW w:w="506" w:type="dxa"/>
            <w:tcBorders>
              <w:top w:val="nil"/>
              <w:left w:val="nil"/>
              <w:bottom w:val="single" w:sz="4" w:space="0" w:color="auto"/>
              <w:right w:val="nil"/>
            </w:tcBorders>
          </w:tcPr>
          <w:p w14:paraId="5970DBF2" w14:textId="77777777" w:rsidR="000F0A4C" w:rsidRPr="002516B6" w:rsidRDefault="000F0A4C" w:rsidP="007465C4">
            <w:pPr>
              <w:pStyle w:val="Lijstalinea"/>
              <w:ind w:left="0"/>
              <w:rPr>
                <w:rFonts w:ascii="Rockwell" w:hAnsi="Rockwell"/>
              </w:rPr>
            </w:pPr>
          </w:p>
        </w:tc>
        <w:tc>
          <w:tcPr>
            <w:tcW w:w="9698" w:type="dxa"/>
            <w:gridSpan w:val="4"/>
            <w:tcBorders>
              <w:top w:val="nil"/>
              <w:left w:val="nil"/>
              <w:bottom w:val="single" w:sz="4" w:space="0" w:color="auto"/>
              <w:right w:val="nil"/>
            </w:tcBorders>
          </w:tcPr>
          <w:p w14:paraId="59B2B7C4" w14:textId="23F862FE" w:rsidR="000F0A4C" w:rsidRPr="002516B6" w:rsidRDefault="000F0A4C" w:rsidP="000F0A4C">
            <w:pPr>
              <w:pStyle w:val="Lijstalinea"/>
              <w:ind w:left="0"/>
              <w:jc w:val="both"/>
              <w:rPr>
                <w:rFonts w:ascii="Rockwell" w:hAnsi="Rockwell"/>
              </w:rPr>
            </w:pPr>
            <w:r w:rsidRPr="002516B6">
              <w:rPr>
                <w:rFonts w:ascii="Rockwell" w:hAnsi="Rockwell"/>
              </w:rPr>
              <w:t>De bijdragen zijn onderhevig aan de gezondheidsindex. Ze worden jaarlijks berekend op de gezondheidsindex van de maand januari. Voor 20</w:t>
            </w:r>
            <w:r w:rsidR="006F720A">
              <w:rPr>
                <w:rFonts w:ascii="Rockwell" w:hAnsi="Rockwell"/>
              </w:rPr>
              <w:t>2</w:t>
            </w:r>
            <w:r w:rsidR="006336E9">
              <w:rPr>
                <w:rFonts w:ascii="Rockwell" w:hAnsi="Rockwell"/>
              </w:rPr>
              <w:t>3</w:t>
            </w:r>
            <w:r w:rsidRPr="002516B6">
              <w:rPr>
                <w:rFonts w:ascii="Rockwell" w:hAnsi="Rockwell"/>
              </w:rPr>
              <w:t xml:space="preserve"> bedraagt de </w:t>
            </w:r>
            <w:r w:rsidRPr="00F432CE">
              <w:rPr>
                <w:rFonts w:ascii="Rockwell" w:hAnsi="Rockwell"/>
                <w:color w:val="000000" w:themeColor="text1"/>
              </w:rPr>
              <w:t xml:space="preserve">index </w:t>
            </w:r>
            <w:r w:rsidR="00F432CE" w:rsidRPr="00F432CE">
              <w:rPr>
                <w:rFonts w:ascii="Rockwell" w:hAnsi="Rockwell"/>
                <w:color w:val="000000" w:themeColor="text1"/>
              </w:rPr>
              <w:t>1</w:t>
            </w:r>
            <w:r w:rsidR="006336E9">
              <w:rPr>
                <w:rFonts w:ascii="Rockwell" w:hAnsi="Rockwell"/>
                <w:color w:val="000000" w:themeColor="text1"/>
              </w:rPr>
              <w:t>27</w:t>
            </w:r>
            <w:r w:rsidR="008B2DD7">
              <w:rPr>
                <w:rFonts w:ascii="Rockwell" w:hAnsi="Rockwell"/>
                <w:color w:val="000000" w:themeColor="text1"/>
              </w:rPr>
              <w:t>,</w:t>
            </w:r>
            <w:r w:rsidR="006336E9">
              <w:rPr>
                <w:rFonts w:ascii="Rockwell" w:hAnsi="Rockwell"/>
                <w:color w:val="000000" w:themeColor="text1"/>
              </w:rPr>
              <w:t>84</w:t>
            </w:r>
            <w:r w:rsidRPr="00F432CE">
              <w:rPr>
                <w:rFonts w:ascii="Rockwell" w:hAnsi="Rockwell"/>
                <w:color w:val="000000" w:themeColor="text1"/>
              </w:rPr>
              <w:t xml:space="preserve">. </w:t>
            </w:r>
            <w:r w:rsidRPr="002516B6">
              <w:rPr>
                <w:rFonts w:ascii="Rockwell" w:hAnsi="Rockwell"/>
              </w:rPr>
              <w:t>De aanvang</w:t>
            </w:r>
            <w:r w:rsidR="006F720A">
              <w:rPr>
                <w:rFonts w:ascii="Rockwell" w:hAnsi="Rockwell"/>
              </w:rPr>
              <w:softHyphen/>
            </w:r>
            <w:r w:rsidRPr="002516B6">
              <w:rPr>
                <w:rFonts w:ascii="Rockwell" w:hAnsi="Rockwell"/>
              </w:rPr>
              <w:t>sindex is 106,37 (de gezondheidsindex van de maand januari 2018 -basis 2013)</w:t>
            </w:r>
          </w:p>
          <w:p w14:paraId="3840C6C6" w14:textId="77777777" w:rsidR="00C10B18" w:rsidRPr="002516B6" w:rsidRDefault="00C10B18" w:rsidP="000F0A4C">
            <w:pPr>
              <w:pStyle w:val="Lijstalinea"/>
              <w:ind w:left="0"/>
              <w:jc w:val="both"/>
              <w:rPr>
                <w:rFonts w:ascii="Rockwell" w:hAnsi="Rockwell"/>
              </w:rPr>
            </w:pPr>
          </w:p>
        </w:tc>
      </w:tr>
      <w:tr w:rsidR="00F4582D" w:rsidRPr="002516B6" w14:paraId="53D2194D" w14:textId="77777777" w:rsidTr="00615414">
        <w:trPr>
          <w:trHeight w:val="454"/>
        </w:trPr>
        <w:tc>
          <w:tcPr>
            <w:tcW w:w="6096" w:type="dxa"/>
            <w:gridSpan w:val="3"/>
            <w:tcBorders>
              <w:top w:val="single" w:sz="4" w:space="0" w:color="auto"/>
              <w:bottom w:val="single" w:sz="6" w:space="0" w:color="auto"/>
            </w:tcBorders>
            <w:vAlign w:val="center"/>
          </w:tcPr>
          <w:p w14:paraId="0186712E" w14:textId="77777777" w:rsidR="00F4582D" w:rsidRPr="002516B6" w:rsidRDefault="00F4582D" w:rsidP="007465C4">
            <w:pPr>
              <w:pStyle w:val="Lijstalinea"/>
              <w:ind w:left="0"/>
              <w:rPr>
                <w:rFonts w:ascii="Rockwell" w:hAnsi="Rockwell"/>
              </w:rPr>
            </w:pPr>
            <w:r w:rsidRPr="002516B6">
              <w:rPr>
                <w:rFonts w:ascii="Rockwell" w:hAnsi="Rockwell"/>
              </w:rPr>
              <w:t>CATEGORIE</w:t>
            </w:r>
          </w:p>
        </w:tc>
        <w:tc>
          <w:tcPr>
            <w:tcW w:w="1701" w:type="dxa"/>
            <w:tcBorders>
              <w:top w:val="single" w:sz="4" w:space="0" w:color="auto"/>
              <w:bottom w:val="single" w:sz="6" w:space="0" w:color="auto"/>
            </w:tcBorders>
            <w:vAlign w:val="center"/>
          </w:tcPr>
          <w:p w14:paraId="1DB0AA82" w14:textId="77777777" w:rsidR="00F4582D" w:rsidRPr="002516B6" w:rsidRDefault="00F4582D" w:rsidP="007465C4">
            <w:pPr>
              <w:pStyle w:val="Lijstalinea"/>
              <w:ind w:left="0"/>
              <w:rPr>
                <w:rFonts w:ascii="Rockwell" w:hAnsi="Rockwell"/>
              </w:rPr>
            </w:pPr>
            <w:r w:rsidRPr="002516B6">
              <w:rPr>
                <w:rFonts w:ascii="Rockwell" w:hAnsi="Rockwell"/>
              </w:rPr>
              <w:t>BASISBEDRAG</w:t>
            </w:r>
          </w:p>
        </w:tc>
        <w:tc>
          <w:tcPr>
            <w:tcW w:w="2407" w:type="dxa"/>
            <w:tcBorders>
              <w:top w:val="single" w:sz="4" w:space="0" w:color="auto"/>
              <w:bottom w:val="single" w:sz="6" w:space="0" w:color="auto"/>
            </w:tcBorders>
            <w:vAlign w:val="center"/>
          </w:tcPr>
          <w:p w14:paraId="1D8A0AEE" w14:textId="54385E3C" w:rsidR="00F4582D" w:rsidRPr="002516B6" w:rsidRDefault="00F4582D" w:rsidP="007465C4">
            <w:pPr>
              <w:pStyle w:val="Lijstalinea"/>
              <w:ind w:left="0"/>
              <w:rPr>
                <w:rFonts w:ascii="Rockwell" w:hAnsi="Rockwell"/>
              </w:rPr>
            </w:pPr>
            <w:r w:rsidRPr="002516B6">
              <w:rPr>
                <w:rFonts w:ascii="Rockwell" w:hAnsi="Rockwell"/>
              </w:rPr>
              <w:t>BEDRAG 20</w:t>
            </w:r>
            <w:r w:rsidR="002516B6" w:rsidRPr="002516B6">
              <w:rPr>
                <w:rFonts w:ascii="Rockwell" w:hAnsi="Rockwell"/>
              </w:rPr>
              <w:t>2</w:t>
            </w:r>
            <w:r w:rsidR="006336E9">
              <w:rPr>
                <w:rFonts w:ascii="Rockwell" w:hAnsi="Rockwell"/>
              </w:rPr>
              <w:t>3</w:t>
            </w:r>
            <w:r w:rsidRPr="002516B6">
              <w:rPr>
                <w:rFonts w:ascii="Rockwell" w:hAnsi="Rockwell"/>
              </w:rPr>
              <w:t xml:space="preserve"> </w:t>
            </w:r>
            <w:r w:rsidR="006336E9">
              <w:rPr>
                <w:rFonts w:ascii="Rockwell" w:hAnsi="Rockwell"/>
              </w:rPr>
              <w:t>–</w:t>
            </w:r>
            <w:r w:rsidRPr="002516B6">
              <w:rPr>
                <w:rFonts w:ascii="Rockwell" w:hAnsi="Rockwell"/>
              </w:rPr>
              <w:t xml:space="preserve"> 202</w:t>
            </w:r>
            <w:r w:rsidR="006336E9">
              <w:rPr>
                <w:rFonts w:ascii="Rockwell" w:hAnsi="Rockwell"/>
              </w:rPr>
              <w:t>4</w:t>
            </w:r>
          </w:p>
        </w:tc>
      </w:tr>
      <w:tr w:rsidR="00F4582D" w:rsidRPr="002516B6" w14:paraId="7D8FCCFB" w14:textId="77777777" w:rsidTr="00615414">
        <w:trPr>
          <w:trHeight w:val="454"/>
        </w:trPr>
        <w:tc>
          <w:tcPr>
            <w:tcW w:w="6096" w:type="dxa"/>
            <w:gridSpan w:val="3"/>
            <w:tcBorders>
              <w:top w:val="single" w:sz="6" w:space="0" w:color="auto"/>
            </w:tcBorders>
            <w:vAlign w:val="center"/>
          </w:tcPr>
          <w:p w14:paraId="3E217015" w14:textId="77777777" w:rsidR="00F4582D" w:rsidRPr="002516B6" w:rsidRDefault="00F4582D" w:rsidP="007465C4">
            <w:pPr>
              <w:pStyle w:val="Lijstalinea"/>
              <w:ind w:left="0"/>
              <w:rPr>
                <w:rFonts w:ascii="Rockwell" w:hAnsi="Rockwell"/>
              </w:rPr>
            </w:pPr>
            <w:r w:rsidRPr="002516B6">
              <w:rPr>
                <w:rFonts w:ascii="Rockwell" w:hAnsi="Rockwell"/>
              </w:rPr>
              <w:t>Geregistreerde speler</w:t>
            </w:r>
          </w:p>
        </w:tc>
        <w:tc>
          <w:tcPr>
            <w:tcW w:w="1701" w:type="dxa"/>
            <w:tcBorders>
              <w:top w:val="single" w:sz="6" w:space="0" w:color="auto"/>
            </w:tcBorders>
            <w:vAlign w:val="center"/>
          </w:tcPr>
          <w:p w14:paraId="23D5B457" w14:textId="77777777"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F4582D" w:rsidRPr="002516B6">
              <w:rPr>
                <w:rFonts w:ascii="Rockwell" w:hAnsi="Rockwell"/>
              </w:rPr>
              <w:t>35,00</w:t>
            </w:r>
          </w:p>
        </w:tc>
        <w:tc>
          <w:tcPr>
            <w:tcW w:w="2407" w:type="dxa"/>
            <w:tcBorders>
              <w:top w:val="single" w:sz="6" w:space="0" w:color="auto"/>
            </w:tcBorders>
            <w:vAlign w:val="center"/>
          </w:tcPr>
          <w:p w14:paraId="587437DC" w14:textId="1FA8524B"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6336E9">
              <w:rPr>
                <w:rFonts w:ascii="Rockwell" w:hAnsi="Rockwell"/>
              </w:rPr>
              <w:t>42</w:t>
            </w:r>
            <w:r w:rsidR="00F4582D" w:rsidRPr="002516B6">
              <w:rPr>
                <w:rFonts w:ascii="Rockwell" w:hAnsi="Rockwell"/>
              </w:rPr>
              <w:t>,00</w:t>
            </w:r>
          </w:p>
        </w:tc>
      </w:tr>
      <w:tr w:rsidR="00F4582D" w:rsidRPr="002516B6" w14:paraId="4225DEE5" w14:textId="77777777" w:rsidTr="00615414">
        <w:trPr>
          <w:trHeight w:val="454"/>
        </w:trPr>
        <w:tc>
          <w:tcPr>
            <w:tcW w:w="6096" w:type="dxa"/>
            <w:gridSpan w:val="3"/>
            <w:vAlign w:val="center"/>
          </w:tcPr>
          <w:p w14:paraId="0591BE9C" w14:textId="77777777" w:rsidR="00F4582D" w:rsidRDefault="00F4582D" w:rsidP="007465C4">
            <w:pPr>
              <w:pStyle w:val="Lijstalinea"/>
              <w:ind w:left="0"/>
              <w:rPr>
                <w:rFonts w:ascii="Rockwell" w:hAnsi="Rockwell"/>
              </w:rPr>
            </w:pPr>
            <w:r w:rsidRPr="002516B6">
              <w:rPr>
                <w:rFonts w:ascii="Rockwell" w:hAnsi="Rockwell"/>
              </w:rPr>
              <w:t>Cursist eerste jaar – tweede jaar gratis</w:t>
            </w:r>
          </w:p>
          <w:p w14:paraId="10B7C620" w14:textId="6614836B" w:rsidR="00F432CE" w:rsidRPr="00F432CE" w:rsidRDefault="00F432CE" w:rsidP="007465C4">
            <w:pPr>
              <w:pStyle w:val="Lijstalinea"/>
              <w:ind w:left="0"/>
              <w:rPr>
                <w:rFonts w:ascii="Rockwell" w:hAnsi="Rockwell"/>
                <w:sz w:val="20"/>
                <w:szCs w:val="20"/>
              </w:rPr>
            </w:pPr>
            <w:r w:rsidRPr="00F432CE">
              <w:rPr>
                <w:rFonts w:ascii="Rockwell" w:hAnsi="Rockwell"/>
                <w:sz w:val="20"/>
                <w:szCs w:val="20"/>
              </w:rPr>
              <w:t>(hierbij inbegrepen een abo op bridge beter digitaal voor beide jaren)</w:t>
            </w:r>
          </w:p>
        </w:tc>
        <w:tc>
          <w:tcPr>
            <w:tcW w:w="1701" w:type="dxa"/>
            <w:vAlign w:val="center"/>
          </w:tcPr>
          <w:p w14:paraId="753886B9" w14:textId="77777777"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F4582D" w:rsidRPr="002516B6">
              <w:rPr>
                <w:rFonts w:ascii="Rockwell" w:hAnsi="Rockwell"/>
              </w:rPr>
              <w:t>20,00</w:t>
            </w:r>
          </w:p>
        </w:tc>
        <w:tc>
          <w:tcPr>
            <w:tcW w:w="2407" w:type="dxa"/>
            <w:vAlign w:val="center"/>
          </w:tcPr>
          <w:p w14:paraId="149563E4" w14:textId="2C684AE0"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F4582D" w:rsidRPr="002516B6">
              <w:rPr>
                <w:rFonts w:ascii="Rockwell" w:hAnsi="Rockwell"/>
              </w:rPr>
              <w:t>2</w:t>
            </w:r>
            <w:r w:rsidR="006336E9">
              <w:rPr>
                <w:rFonts w:ascii="Rockwell" w:hAnsi="Rockwell"/>
              </w:rPr>
              <w:t>4</w:t>
            </w:r>
            <w:r w:rsidR="00F4582D" w:rsidRPr="002516B6">
              <w:rPr>
                <w:rFonts w:ascii="Rockwell" w:hAnsi="Rockwell"/>
              </w:rPr>
              <w:t>,00</w:t>
            </w:r>
          </w:p>
        </w:tc>
      </w:tr>
      <w:tr w:rsidR="00F4582D" w:rsidRPr="002516B6" w14:paraId="4B35849C" w14:textId="77777777" w:rsidTr="00615414">
        <w:trPr>
          <w:trHeight w:val="454"/>
        </w:trPr>
        <w:tc>
          <w:tcPr>
            <w:tcW w:w="6096" w:type="dxa"/>
            <w:gridSpan w:val="3"/>
            <w:tcBorders>
              <w:bottom w:val="single" w:sz="6" w:space="0" w:color="auto"/>
            </w:tcBorders>
            <w:vAlign w:val="center"/>
          </w:tcPr>
          <w:p w14:paraId="41E4D274" w14:textId="77777777" w:rsidR="00F4582D" w:rsidRPr="002516B6" w:rsidRDefault="00F4582D" w:rsidP="007465C4">
            <w:pPr>
              <w:pStyle w:val="Lijstalinea"/>
              <w:ind w:left="0"/>
              <w:rPr>
                <w:rFonts w:ascii="Rockwell" w:hAnsi="Rockwell"/>
              </w:rPr>
            </w:pPr>
            <w:r w:rsidRPr="002516B6">
              <w:rPr>
                <w:rFonts w:ascii="Rockwell" w:hAnsi="Rockwell"/>
              </w:rPr>
              <w:t>Schoolgaande in dagonderwijs</w:t>
            </w:r>
            <w:r w:rsidR="004568E0" w:rsidRPr="002516B6">
              <w:rPr>
                <w:rFonts w:ascii="Rockwell" w:hAnsi="Rockwell"/>
              </w:rPr>
              <w:t xml:space="preserve"> (inclusief bridge beter digitaal)</w:t>
            </w:r>
          </w:p>
        </w:tc>
        <w:tc>
          <w:tcPr>
            <w:tcW w:w="1701" w:type="dxa"/>
            <w:tcBorders>
              <w:bottom w:val="single" w:sz="6" w:space="0" w:color="auto"/>
            </w:tcBorders>
            <w:vAlign w:val="center"/>
          </w:tcPr>
          <w:p w14:paraId="026A8F20" w14:textId="77777777"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F4582D" w:rsidRPr="002516B6">
              <w:rPr>
                <w:rFonts w:ascii="Rockwell" w:hAnsi="Rockwell"/>
              </w:rPr>
              <w:t xml:space="preserve">5,00 </w:t>
            </w:r>
          </w:p>
        </w:tc>
        <w:tc>
          <w:tcPr>
            <w:tcW w:w="2407" w:type="dxa"/>
            <w:tcBorders>
              <w:bottom w:val="single" w:sz="6" w:space="0" w:color="auto"/>
            </w:tcBorders>
            <w:vAlign w:val="center"/>
          </w:tcPr>
          <w:p w14:paraId="4D017014" w14:textId="27CCA435"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314816">
              <w:rPr>
                <w:rFonts w:ascii="Rockwell" w:hAnsi="Rockwell"/>
              </w:rPr>
              <w:t>6</w:t>
            </w:r>
            <w:r w:rsidR="00F4582D" w:rsidRPr="002516B6">
              <w:rPr>
                <w:rFonts w:ascii="Rockwell" w:hAnsi="Rockwell"/>
              </w:rPr>
              <w:t>,00</w:t>
            </w:r>
          </w:p>
        </w:tc>
      </w:tr>
      <w:tr w:rsidR="00F4582D" w:rsidRPr="002516B6" w14:paraId="3C3F8EE5" w14:textId="77777777" w:rsidTr="00615414">
        <w:trPr>
          <w:trHeight w:val="454"/>
        </w:trPr>
        <w:tc>
          <w:tcPr>
            <w:tcW w:w="10204" w:type="dxa"/>
            <w:gridSpan w:val="5"/>
            <w:tcBorders>
              <w:top w:val="single" w:sz="4" w:space="0" w:color="auto"/>
              <w:left w:val="nil"/>
              <w:bottom w:val="single" w:sz="4" w:space="0" w:color="auto"/>
              <w:right w:val="nil"/>
            </w:tcBorders>
            <w:vAlign w:val="center"/>
          </w:tcPr>
          <w:p w14:paraId="54E04EE5" w14:textId="77777777" w:rsidR="00F4582D" w:rsidRPr="002516B6" w:rsidRDefault="00F4582D" w:rsidP="00F4582D">
            <w:pPr>
              <w:pStyle w:val="Lijstalinea"/>
              <w:ind w:left="0"/>
              <w:jc w:val="both"/>
              <w:rPr>
                <w:rFonts w:ascii="Rockwell" w:hAnsi="Rockwell"/>
              </w:rPr>
            </w:pPr>
            <w:r w:rsidRPr="002516B6">
              <w:rPr>
                <w:rFonts w:ascii="Rockwell" w:hAnsi="Rockwell"/>
              </w:rPr>
              <w:t xml:space="preserve">1.2.2. </w:t>
            </w:r>
            <w:r w:rsidR="00DE08FB" w:rsidRPr="002516B6">
              <w:rPr>
                <w:rFonts w:ascii="Rockwell" w:hAnsi="Rockwell"/>
              </w:rPr>
              <w:t>LEDEN</w:t>
            </w:r>
            <w:r w:rsidRPr="002516B6">
              <w:rPr>
                <w:rFonts w:ascii="Rockwell" w:hAnsi="Rockwell"/>
              </w:rPr>
              <w:t>BIJDRAGE</w:t>
            </w:r>
            <w:r w:rsidR="004568E0" w:rsidRPr="002516B6">
              <w:rPr>
                <w:rFonts w:ascii="Rockwell" w:hAnsi="Rockwell"/>
              </w:rPr>
              <w:t>N</w:t>
            </w:r>
            <w:r w:rsidRPr="002516B6">
              <w:rPr>
                <w:rFonts w:ascii="Rockwell" w:hAnsi="Rockwell"/>
              </w:rPr>
              <w:t xml:space="preserve"> VOOR</w:t>
            </w:r>
            <w:r w:rsidR="00DE08FB" w:rsidRPr="002516B6">
              <w:rPr>
                <w:rFonts w:ascii="Rockwell" w:hAnsi="Rockwell"/>
              </w:rPr>
              <w:t xml:space="preserve"> JAARABONNEMENT OP</w:t>
            </w:r>
            <w:r w:rsidRPr="002516B6">
              <w:rPr>
                <w:rFonts w:ascii="Rockwell" w:hAnsi="Rockwell"/>
              </w:rPr>
              <w:t xml:space="preserve"> BRIDGE BETER MAGAZINE</w:t>
            </w:r>
          </w:p>
        </w:tc>
      </w:tr>
      <w:tr w:rsidR="00F4582D" w:rsidRPr="002516B6" w14:paraId="0C58413D" w14:textId="77777777" w:rsidTr="00615414">
        <w:trPr>
          <w:trHeight w:val="454"/>
        </w:trPr>
        <w:tc>
          <w:tcPr>
            <w:tcW w:w="6096" w:type="dxa"/>
            <w:gridSpan w:val="3"/>
            <w:tcBorders>
              <w:top w:val="single" w:sz="4" w:space="0" w:color="auto"/>
              <w:bottom w:val="single" w:sz="6" w:space="0" w:color="auto"/>
            </w:tcBorders>
            <w:vAlign w:val="center"/>
          </w:tcPr>
          <w:p w14:paraId="6D59A9A6" w14:textId="77777777" w:rsidR="00F4582D" w:rsidRPr="002516B6" w:rsidRDefault="00F4582D" w:rsidP="007465C4">
            <w:pPr>
              <w:pStyle w:val="Lijstalinea"/>
              <w:ind w:left="0"/>
              <w:rPr>
                <w:rFonts w:ascii="Rockwell" w:hAnsi="Rockwell"/>
              </w:rPr>
            </w:pPr>
            <w:r w:rsidRPr="002516B6">
              <w:rPr>
                <w:rFonts w:ascii="Rockwell" w:hAnsi="Rockwell"/>
              </w:rPr>
              <w:t>CATEGORIE</w:t>
            </w:r>
          </w:p>
        </w:tc>
        <w:tc>
          <w:tcPr>
            <w:tcW w:w="1701" w:type="dxa"/>
            <w:tcBorders>
              <w:top w:val="single" w:sz="4" w:space="0" w:color="auto"/>
              <w:bottom w:val="single" w:sz="6" w:space="0" w:color="auto"/>
            </w:tcBorders>
            <w:vAlign w:val="center"/>
          </w:tcPr>
          <w:p w14:paraId="23CE49EE" w14:textId="77777777" w:rsidR="00F4582D" w:rsidRPr="002516B6" w:rsidRDefault="00F4582D" w:rsidP="00F4582D">
            <w:pPr>
              <w:pStyle w:val="Lijstalinea"/>
              <w:ind w:left="0"/>
              <w:jc w:val="center"/>
              <w:rPr>
                <w:rFonts w:ascii="Rockwell" w:hAnsi="Rockwell"/>
              </w:rPr>
            </w:pPr>
            <w:r w:rsidRPr="002516B6">
              <w:rPr>
                <w:rFonts w:ascii="Rockwell" w:hAnsi="Rockwell"/>
              </w:rPr>
              <w:t>BASISBEDRAG</w:t>
            </w:r>
          </w:p>
        </w:tc>
        <w:tc>
          <w:tcPr>
            <w:tcW w:w="2407" w:type="dxa"/>
            <w:tcBorders>
              <w:top w:val="single" w:sz="4" w:space="0" w:color="auto"/>
              <w:bottom w:val="single" w:sz="6" w:space="0" w:color="auto"/>
            </w:tcBorders>
            <w:vAlign w:val="center"/>
          </w:tcPr>
          <w:p w14:paraId="3BF6F66B" w14:textId="3301E983" w:rsidR="00F4582D" w:rsidRPr="002516B6" w:rsidRDefault="00F4582D" w:rsidP="00F4582D">
            <w:pPr>
              <w:pStyle w:val="Lijstalinea"/>
              <w:ind w:left="0"/>
              <w:jc w:val="center"/>
              <w:rPr>
                <w:rFonts w:ascii="Rockwell" w:hAnsi="Rockwell"/>
              </w:rPr>
            </w:pPr>
            <w:r w:rsidRPr="002516B6">
              <w:rPr>
                <w:rFonts w:ascii="Rockwell" w:hAnsi="Rockwell"/>
              </w:rPr>
              <w:t>BEDRAG 20</w:t>
            </w:r>
            <w:r w:rsidR="002516B6" w:rsidRPr="002516B6">
              <w:rPr>
                <w:rFonts w:ascii="Rockwell" w:hAnsi="Rockwell"/>
              </w:rPr>
              <w:t>2</w:t>
            </w:r>
            <w:r w:rsidR="006336E9">
              <w:rPr>
                <w:rFonts w:ascii="Rockwell" w:hAnsi="Rockwell"/>
              </w:rPr>
              <w:t>3</w:t>
            </w:r>
            <w:r w:rsidRPr="002516B6">
              <w:rPr>
                <w:rFonts w:ascii="Rockwell" w:hAnsi="Rockwell"/>
              </w:rPr>
              <w:t xml:space="preserve"> </w:t>
            </w:r>
            <w:r w:rsidR="002516B6" w:rsidRPr="002516B6">
              <w:rPr>
                <w:rFonts w:ascii="Rockwell" w:hAnsi="Rockwell"/>
              </w:rPr>
              <w:t>–</w:t>
            </w:r>
            <w:r w:rsidRPr="002516B6">
              <w:rPr>
                <w:rFonts w:ascii="Rockwell" w:hAnsi="Rockwell"/>
              </w:rPr>
              <w:t xml:space="preserve"> 202</w:t>
            </w:r>
            <w:r w:rsidR="006336E9">
              <w:rPr>
                <w:rFonts w:ascii="Rockwell" w:hAnsi="Rockwell"/>
              </w:rPr>
              <w:t>4</w:t>
            </w:r>
          </w:p>
        </w:tc>
      </w:tr>
      <w:tr w:rsidR="00F4582D" w:rsidRPr="002516B6" w14:paraId="669040DD" w14:textId="77777777" w:rsidTr="00615414">
        <w:trPr>
          <w:trHeight w:val="454"/>
        </w:trPr>
        <w:tc>
          <w:tcPr>
            <w:tcW w:w="6096" w:type="dxa"/>
            <w:gridSpan w:val="3"/>
            <w:tcBorders>
              <w:top w:val="single" w:sz="6" w:space="0" w:color="auto"/>
            </w:tcBorders>
            <w:vAlign w:val="center"/>
          </w:tcPr>
          <w:p w14:paraId="30CB76E3" w14:textId="77777777" w:rsidR="00F4582D" w:rsidRPr="002516B6" w:rsidRDefault="00F4582D" w:rsidP="007465C4">
            <w:pPr>
              <w:pStyle w:val="Lijstalinea"/>
              <w:ind w:left="0"/>
              <w:rPr>
                <w:rFonts w:ascii="Rockwell" w:hAnsi="Rockwell"/>
              </w:rPr>
            </w:pPr>
            <w:r w:rsidRPr="002516B6">
              <w:rPr>
                <w:rFonts w:ascii="Rockwell" w:hAnsi="Rockwell"/>
              </w:rPr>
              <w:t>Digitale versie (</w:t>
            </w:r>
            <w:r w:rsidR="00DE08FB" w:rsidRPr="002516B6">
              <w:rPr>
                <w:rFonts w:ascii="Rockwell" w:hAnsi="Rockwell"/>
              </w:rPr>
              <w:t>maximum op</w:t>
            </w:r>
            <w:r w:rsidRPr="002516B6">
              <w:rPr>
                <w:rFonts w:ascii="Rockwell" w:hAnsi="Rockwell"/>
              </w:rPr>
              <w:t xml:space="preserve"> twee toestellen)</w:t>
            </w:r>
          </w:p>
        </w:tc>
        <w:tc>
          <w:tcPr>
            <w:tcW w:w="1701" w:type="dxa"/>
            <w:tcBorders>
              <w:top w:val="single" w:sz="6" w:space="0" w:color="auto"/>
            </w:tcBorders>
            <w:vAlign w:val="center"/>
          </w:tcPr>
          <w:p w14:paraId="089C9F03" w14:textId="77777777"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F4582D" w:rsidRPr="002516B6">
              <w:rPr>
                <w:rFonts w:ascii="Rockwell" w:hAnsi="Rockwell"/>
              </w:rPr>
              <w:t>5,00</w:t>
            </w:r>
          </w:p>
        </w:tc>
        <w:tc>
          <w:tcPr>
            <w:tcW w:w="2407" w:type="dxa"/>
            <w:tcBorders>
              <w:top w:val="single" w:sz="6" w:space="0" w:color="auto"/>
            </w:tcBorders>
            <w:vAlign w:val="center"/>
          </w:tcPr>
          <w:p w14:paraId="7B8CE092" w14:textId="581351F6"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F50141">
              <w:rPr>
                <w:rFonts w:ascii="Rockwell" w:hAnsi="Rockwell"/>
              </w:rPr>
              <w:t>8</w:t>
            </w:r>
            <w:r w:rsidR="004568E0" w:rsidRPr="002516B6">
              <w:rPr>
                <w:rFonts w:ascii="Rockwell" w:hAnsi="Rockwell"/>
              </w:rPr>
              <w:t>,00</w:t>
            </w:r>
          </w:p>
        </w:tc>
      </w:tr>
      <w:tr w:rsidR="00F4582D" w:rsidRPr="002516B6" w14:paraId="628DEFE0" w14:textId="77777777" w:rsidTr="00615414">
        <w:trPr>
          <w:trHeight w:val="454"/>
        </w:trPr>
        <w:tc>
          <w:tcPr>
            <w:tcW w:w="6096" w:type="dxa"/>
            <w:gridSpan w:val="3"/>
            <w:tcBorders>
              <w:bottom w:val="single" w:sz="6" w:space="0" w:color="auto"/>
            </w:tcBorders>
            <w:vAlign w:val="center"/>
          </w:tcPr>
          <w:p w14:paraId="471559FE" w14:textId="77777777" w:rsidR="00F4582D" w:rsidRPr="002516B6" w:rsidRDefault="004568E0" w:rsidP="007465C4">
            <w:pPr>
              <w:pStyle w:val="Lijstalinea"/>
              <w:ind w:left="0"/>
              <w:rPr>
                <w:rFonts w:ascii="Rockwell" w:hAnsi="Rockwell"/>
              </w:rPr>
            </w:pPr>
            <w:r w:rsidRPr="002516B6">
              <w:rPr>
                <w:rFonts w:ascii="Rockwell" w:hAnsi="Rockwell"/>
              </w:rPr>
              <w:t>Gedrukte versie thuisbezorgd</w:t>
            </w:r>
          </w:p>
        </w:tc>
        <w:tc>
          <w:tcPr>
            <w:tcW w:w="1701" w:type="dxa"/>
            <w:tcBorders>
              <w:bottom w:val="single" w:sz="6" w:space="0" w:color="auto"/>
            </w:tcBorders>
            <w:vAlign w:val="center"/>
          </w:tcPr>
          <w:p w14:paraId="192A3AD8" w14:textId="08B55C01"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4568E0" w:rsidRPr="002516B6">
              <w:rPr>
                <w:rFonts w:ascii="Rockwell" w:hAnsi="Rockwell"/>
              </w:rPr>
              <w:t>1</w:t>
            </w:r>
            <w:r w:rsidR="002C365D">
              <w:rPr>
                <w:rFonts w:ascii="Rockwell" w:hAnsi="Rockwell"/>
              </w:rPr>
              <w:t>7</w:t>
            </w:r>
            <w:r w:rsidR="004568E0" w:rsidRPr="002516B6">
              <w:rPr>
                <w:rFonts w:ascii="Rockwell" w:hAnsi="Rockwell"/>
              </w:rPr>
              <w:t>,00</w:t>
            </w:r>
          </w:p>
        </w:tc>
        <w:tc>
          <w:tcPr>
            <w:tcW w:w="2407" w:type="dxa"/>
            <w:tcBorders>
              <w:bottom w:val="single" w:sz="6" w:space="0" w:color="auto"/>
            </w:tcBorders>
            <w:vAlign w:val="center"/>
          </w:tcPr>
          <w:p w14:paraId="04203495" w14:textId="32D6EC11"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F50141">
              <w:rPr>
                <w:rFonts w:ascii="Rockwell" w:hAnsi="Rockwell"/>
              </w:rPr>
              <w:t>20</w:t>
            </w:r>
            <w:r w:rsidR="004568E0" w:rsidRPr="002516B6">
              <w:rPr>
                <w:rFonts w:ascii="Rockwell" w:hAnsi="Rockwell"/>
              </w:rPr>
              <w:t>,00</w:t>
            </w:r>
          </w:p>
        </w:tc>
      </w:tr>
      <w:tr w:rsidR="00F4582D" w:rsidRPr="002516B6" w14:paraId="72B2B903" w14:textId="77777777" w:rsidTr="00615414">
        <w:trPr>
          <w:trHeight w:val="454"/>
        </w:trPr>
        <w:tc>
          <w:tcPr>
            <w:tcW w:w="6096" w:type="dxa"/>
            <w:gridSpan w:val="3"/>
            <w:tcBorders>
              <w:top w:val="single" w:sz="6" w:space="0" w:color="auto"/>
              <w:bottom w:val="single" w:sz="4" w:space="0" w:color="auto"/>
            </w:tcBorders>
            <w:vAlign w:val="center"/>
          </w:tcPr>
          <w:p w14:paraId="7A38439B" w14:textId="77777777" w:rsidR="00F4582D" w:rsidRPr="002516B6" w:rsidRDefault="004568E0" w:rsidP="007465C4">
            <w:pPr>
              <w:pStyle w:val="Lijstalinea"/>
              <w:ind w:left="0"/>
              <w:rPr>
                <w:rFonts w:ascii="Rockwell" w:hAnsi="Rockwell"/>
              </w:rPr>
            </w:pPr>
            <w:r w:rsidRPr="002516B6">
              <w:rPr>
                <w:rFonts w:ascii="Rockwell" w:hAnsi="Rockwell"/>
              </w:rPr>
              <w:t>Beide versies</w:t>
            </w:r>
          </w:p>
        </w:tc>
        <w:tc>
          <w:tcPr>
            <w:tcW w:w="1701" w:type="dxa"/>
            <w:tcBorders>
              <w:top w:val="single" w:sz="6" w:space="0" w:color="auto"/>
              <w:bottom w:val="single" w:sz="4" w:space="0" w:color="auto"/>
            </w:tcBorders>
            <w:vAlign w:val="center"/>
          </w:tcPr>
          <w:p w14:paraId="5B868C57" w14:textId="3550E6EF"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4568E0" w:rsidRPr="002516B6">
              <w:rPr>
                <w:rFonts w:ascii="Rockwell" w:hAnsi="Rockwell"/>
              </w:rPr>
              <w:t>2</w:t>
            </w:r>
            <w:r w:rsidR="002C365D">
              <w:rPr>
                <w:rFonts w:ascii="Rockwell" w:hAnsi="Rockwell"/>
              </w:rPr>
              <w:t>2</w:t>
            </w:r>
            <w:r w:rsidR="004568E0" w:rsidRPr="002516B6">
              <w:rPr>
                <w:rFonts w:ascii="Rockwell" w:hAnsi="Rockwell"/>
              </w:rPr>
              <w:t>,00</w:t>
            </w:r>
          </w:p>
        </w:tc>
        <w:tc>
          <w:tcPr>
            <w:tcW w:w="2407" w:type="dxa"/>
            <w:tcBorders>
              <w:top w:val="single" w:sz="6" w:space="0" w:color="auto"/>
              <w:bottom w:val="single" w:sz="4" w:space="0" w:color="auto"/>
            </w:tcBorders>
            <w:vAlign w:val="center"/>
          </w:tcPr>
          <w:p w14:paraId="53C2C956" w14:textId="042C1B4D" w:rsidR="00F4582D" w:rsidRPr="002516B6" w:rsidRDefault="00DE08FB" w:rsidP="00F4582D">
            <w:pPr>
              <w:pStyle w:val="Lijstalinea"/>
              <w:ind w:left="0"/>
              <w:jc w:val="center"/>
              <w:rPr>
                <w:rFonts w:ascii="Rockwell" w:hAnsi="Rockwell"/>
              </w:rPr>
            </w:pPr>
            <w:r w:rsidRPr="002516B6">
              <w:rPr>
                <w:rFonts w:ascii="Rockwell" w:hAnsi="Rockwell"/>
              </w:rPr>
              <w:t xml:space="preserve">€ </w:t>
            </w:r>
            <w:r w:rsidR="004568E0" w:rsidRPr="002516B6">
              <w:rPr>
                <w:rFonts w:ascii="Rockwell" w:hAnsi="Rockwell"/>
              </w:rPr>
              <w:t>2</w:t>
            </w:r>
            <w:r w:rsidR="002C365D">
              <w:rPr>
                <w:rFonts w:ascii="Rockwell" w:hAnsi="Rockwell"/>
              </w:rPr>
              <w:t>8</w:t>
            </w:r>
            <w:r w:rsidR="004568E0" w:rsidRPr="002516B6">
              <w:rPr>
                <w:rFonts w:ascii="Rockwell" w:hAnsi="Rockwell"/>
              </w:rPr>
              <w:t>,00</w:t>
            </w:r>
          </w:p>
        </w:tc>
      </w:tr>
      <w:tr w:rsidR="004568E0" w:rsidRPr="002516B6" w14:paraId="1F8B6559" w14:textId="77777777" w:rsidTr="00615414">
        <w:trPr>
          <w:trHeight w:val="454"/>
        </w:trPr>
        <w:tc>
          <w:tcPr>
            <w:tcW w:w="7797" w:type="dxa"/>
            <w:gridSpan w:val="4"/>
            <w:tcBorders>
              <w:top w:val="single" w:sz="4" w:space="0" w:color="auto"/>
              <w:left w:val="nil"/>
              <w:bottom w:val="nil"/>
              <w:right w:val="nil"/>
            </w:tcBorders>
            <w:vAlign w:val="bottom"/>
          </w:tcPr>
          <w:p w14:paraId="4D70A0F3" w14:textId="77777777" w:rsidR="004568E0" w:rsidRPr="002516B6" w:rsidRDefault="004568E0" w:rsidP="007465C4">
            <w:pPr>
              <w:pStyle w:val="Lijstalinea"/>
              <w:ind w:left="0"/>
              <w:rPr>
                <w:rFonts w:ascii="Rockwell" w:hAnsi="Rockwell"/>
              </w:rPr>
            </w:pPr>
            <w:r w:rsidRPr="002516B6">
              <w:rPr>
                <w:rFonts w:ascii="Rockwell" w:hAnsi="Rockwell"/>
              </w:rPr>
              <w:t>1.2.3. BIJDRAGEN VOOR CLUBS</w:t>
            </w:r>
          </w:p>
        </w:tc>
        <w:tc>
          <w:tcPr>
            <w:tcW w:w="2407" w:type="dxa"/>
            <w:tcBorders>
              <w:top w:val="single" w:sz="4" w:space="0" w:color="auto"/>
              <w:left w:val="nil"/>
              <w:bottom w:val="nil"/>
              <w:right w:val="nil"/>
            </w:tcBorders>
          </w:tcPr>
          <w:p w14:paraId="74DB63AA" w14:textId="77777777" w:rsidR="004568E0" w:rsidRPr="002516B6" w:rsidRDefault="004568E0" w:rsidP="007465C4">
            <w:pPr>
              <w:pStyle w:val="Lijstalinea"/>
              <w:ind w:left="0"/>
              <w:rPr>
                <w:rFonts w:ascii="Rockwell" w:hAnsi="Rockwell"/>
              </w:rPr>
            </w:pPr>
          </w:p>
        </w:tc>
      </w:tr>
      <w:tr w:rsidR="00DE08FB" w:rsidRPr="002516B6" w14:paraId="21FC1B57" w14:textId="77777777" w:rsidTr="00615414">
        <w:trPr>
          <w:trHeight w:val="454"/>
        </w:trPr>
        <w:tc>
          <w:tcPr>
            <w:tcW w:w="506" w:type="dxa"/>
            <w:tcBorders>
              <w:top w:val="nil"/>
              <w:left w:val="nil"/>
              <w:bottom w:val="nil"/>
              <w:right w:val="nil"/>
            </w:tcBorders>
          </w:tcPr>
          <w:p w14:paraId="41BBD316" w14:textId="77777777" w:rsidR="00DE08FB" w:rsidRPr="002516B6" w:rsidRDefault="00DE08FB" w:rsidP="007465C4">
            <w:pPr>
              <w:pStyle w:val="Lijstalinea"/>
              <w:ind w:left="0"/>
              <w:rPr>
                <w:rFonts w:ascii="Rockwell" w:hAnsi="Rockwell"/>
              </w:rPr>
            </w:pPr>
          </w:p>
        </w:tc>
        <w:tc>
          <w:tcPr>
            <w:tcW w:w="9698" w:type="dxa"/>
            <w:gridSpan w:val="4"/>
            <w:tcBorders>
              <w:top w:val="nil"/>
              <w:left w:val="nil"/>
              <w:bottom w:val="nil"/>
              <w:right w:val="nil"/>
            </w:tcBorders>
          </w:tcPr>
          <w:p w14:paraId="5D9DBEF8" w14:textId="58EE4D5D" w:rsidR="00DE08FB" w:rsidRPr="002516B6" w:rsidRDefault="00DE08FB" w:rsidP="00DE08FB">
            <w:pPr>
              <w:pStyle w:val="Lijstalinea"/>
              <w:ind w:left="0"/>
              <w:jc w:val="both"/>
              <w:rPr>
                <w:rFonts w:ascii="Rockwell" w:hAnsi="Rockwell"/>
              </w:rPr>
            </w:pPr>
            <w:r w:rsidRPr="002516B6">
              <w:rPr>
                <w:rFonts w:ascii="Rockwell" w:hAnsi="Rockwell"/>
              </w:rPr>
              <w:t xml:space="preserve">De clubbijdrage is gelijk aan het aantal geregistreerde spelers van de club op 30 juni van het voorafgaande seizoen, vermenigvuldigd met € </w:t>
            </w:r>
            <w:r w:rsidR="006336E9">
              <w:rPr>
                <w:rFonts w:ascii="Rockwell" w:hAnsi="Rockwell"/>
              </w:rPr>
              <w:t>3</w:t>
            </w:r>
            <w:r w:rsidRPr="002516B6">
              <w:rPr>
                <w:rFonts w:ascii="Rockwell" w:hAnsi="Rockwell"/>
              </w:rPr>
              <w:t>,</w:t>
            </w:r>
            <w:r w:rsidR="006336E9">
              <w:rPr>
                <w:rFonts w:ascii="Rockwell" w:hAnsi="Rockwell"/>
              </w:rPr>
              <w:t>0</w:t>
            </w:r>
            <w:r w:rsidRPr="002516B6">
              <w:rPr>
                <w:rFonts w:ascii="Rockwell" w:hAnsi="Rockwell"/>
              </w:rPr>
              <w:t xml:space="preserve">0. (met een minimum van € </w:t>
            </w:r>
            <w:r w:rsidR="003604C8">
              <w:rPr>
                <w:rFonts w:ascii="Rockwell" w:hAnsi="Rockwell"/>
              </w:rPr>
              <w:t>75</w:t>
            </w:r>
            <w:r w:rsidRPr="002516B6">
              <w:rPr>
                <w:rFonts w:ascii="Rockwell" w:hAnsi="Rockwell"/>
              </w:rPr>
              <w:t xml:space="preserve">,00 en een maximum van € </w:t>
            </w:r>
            <w:r w:rsidR="006336E9">
              <w:rPr>
                <w:rFonts w:ascii="Rockwell" w:hAnsi="Rockwell"/>
              </w:rPr>
              <w:t>30</w:t>
            </w:r>
            <w:r w:rsidRPr="002516B6">
              <w:rPr>
                <w:rFonts w:ascii="Rockwell" w:hAnsi="Rockwell"/>
              </w:rPr>
              <w:t>0,00)</w:t>
            </w:r>
          </w:p>
          <w:p w14:paraId="07B410FB" w14:textId="77777777" w:rsidR="00C10B18" w:rsidRPr="002516B6" w:rsidRDefault="00C10B18" w:rsidP="00DE08FB">
            <w:pPr>
              <w:pStyle w:val="Lijstalinea"/>
              <w:ind w:left="0"/>
              <w:jc w:val="both"/>
              <w:rPr>
                <w:rFonts w:ascii="Rockwell" w:hAnsi="Rockwell"/>
              </w:rPr>
            </w:pPr>
          </w:p>
        </w:tc>
      </w:tr>
      <w:tr w:rsidR="006F720A" w:rsidRPr="002516B6" w14:paraId="66BEA881" w14:textId="77777777" w:rsidTr="00CD5958">
        <w:trPr>
          <w:trHeight w:val="454"/>
        </w:trPr>
        <w:tc>
          <w:tcPr>
            <w:tcW w:w="10204" w:type="dxa"/>
            <w:gridSpan w:val="5"/>
            <w:tcBorders>
              <w:top w:val="nil"/>
              <w:left w:val="nil"/>
              <w:bottom w:val="single" w:sz="4" w:space="0" w:color="auto"/>
              <w:right w:val="nil"/>
            </w:tcBorders>
          </w:tcPr>
          <w:p w14:paraId="3E769854" w14:textId="52AB2396" w:rsidR="006F720A" w:rsidRPr="002516B6" w:rsidRDefault="006F720A" w:rsidP="007465C4">
            <w:pPr>
              <w:pStyle w:val="Lijstalinea"/>
              <w:ind w:left="0"/>
              <w:rPr>
                <w:rFonts w:ascii="Rockwell" w:hAnsi="Rockwell"/>
              </w:rPr>
            </w:pPr>
            <w:r w:rsidRPr="002516B6">
              <w:rPr>
                <w:rFonts w:ascii="Rockwell" w:hAnsi="Rockwell"/>
              </w:rPr>
              <w:t>1.2.4.  BIJDRAGEN VOOR TEAMS (incl. deelname aan Beker van Vlaanderen)</w:t>
            </w:r>
          </w:p>
        </w:tc>
      </w:tr>
      <w:tr w:rsidR="0024570C" w:rsidRPr="002516B6" w14:paraId="59073DC8" w14:textId="77777777" w:rsidTr="00615414">
        <w:trPr>
          <w:trHeight w:val="454"/>
        </w:trPr>
        <w:tc>
          <w:tcPr>
            <w:tcW w:w="7797" w:type="dxa"/>
            <w:gridSpan w:val="4"/>
            <w:tcBorders>
              <w:top w:val="single" w:sz="4" w:space="0" w:color="auto"/>
            </w:tcBorders>
            <w:vAlign w:val="center"/>
          </w:tcPr>
          <w:p w14:paraId="3B533C79" w14:textId="77777777" w:rsidR="0024570C" w:rsidRPr="002516B6" w:rsidRDefault="0024570C" w:rsidP="0024570C">
            <w:pPr>
              <w:pStyle w:val="Lijstalinea"/>
              <w:ind w:left="0"/>
              <w:jc w:val="both"/>
              <w:rPr>
                <w:rFonts w:ascii="Rockwell" w:hAnsi="Rockwell"/>
              </w:rPr>
            </w:pPr>
            <w:r w:rsidRPr="002516B6">
              <w:rPr>
                <w:rFonts w:ascii="Rockwell" w:hAnsi="Rockwell"/>
              </w:rPr>
              <w:t>Viertal Eredivisie</w:t>
            </w:r>
          </w:p>
        </w:tc>
        <w:tc>
          <w:tcPr>
            <w:tcW w:w="2407" w:type="dxa"/>
            <w:tcBorders>
              <w:top w:val="single" w:sz="4" w:space="0" w:color="auto"/>
            </w:tcBorders>
            <w:vAlign w:val="center"/>
          </w:tcPr>
          <w:p w14:paraId="0343BF1C" w14:textId="03FFF42D" w:rsidR="0024570C" w:rsidRPr="002516B6" w:rsidRDefault="0024570C" w:rsidP="0024570C">
            <w:pPr>
              <w:pStyle w:val="Lijstalinea"/>
              <w:ind w:left="0"/>
              <w:jc w:val="right"/>
              <w:rPr>
                <w:rFonts w:ascii="Rockwell" w:hAnsi="Rockwell"/>
              </w:rPr>
            </w:pPr>
            <w:r w:rsidRPr="002516B6">
              <w:rPr>
                <w:rFonts w:ascii="Rockwell" w:hAnsi="Rockwell"/>
              </w:rPr>
              <w:t>€ 4</w:t>
            </w:r>
            <w:r w:rsidR="00EA1CB1">
              <w:rPr>
                <w:rFonts w:ascii="Rockwell" w:hAnsi="Rockwell"/>
              </w:rPr>
              <w:t>3</w:t>
            </w:r>
            <w:r w:rsidRPr="002516B6">
              <w:rPr>
                <w:rFonts w:ascii="Rockwell" w:hAnsi="Rockwell"/>
              </w:rPr>
              <w:t>0,00</w:t>
            </w:r>
          </w:p>
        </w:tc>
      </w:tr>
      <w:tr w:rsidR="0024570C" w:rsidRPr="002516B6" w14:paraId="121E61BE" w14:textId="77777777" w:rsidTr="00615414">
        <w:trPr>
          <w:trHeight w:val="454"/>
        </w:trPr>
        <w:tc>
          <w:tcPr>
            <w:tcW w:w="7797" w:type="dxa"/>
            <w:gridSpan w:val="4"/>
            <w:vAlign w:val="center"/>
          </w:tcPr>
          <w:p w14:paraId="05DA0CBC" w14:textId="77777777" w:rsidR="0024570C" w:rsidRPr="002516B6" w:rsidRDefault="0024570C" w:rsidP="0024570C">
            <w:pPr>
              <w:pStyle w:val="Lijstalinea"/>
              <w:ind w:left="0"/>
              <w:jc w:val="both"/>
              <w:rPr>
                <w:rFonts w:ascii="Rockwell" w:hAnsi="Rockwell"/>
              </w:rPr>
            </w:pPr>
            <w:r w:rsidRPr="002516B6">
              <w:rPr>
                <w:rFonts w:ascii="Rockwell" w:hAnsi="Rockwell"/>
              </w:rPr>
              <w:t>Viertal eerste nationale</w:t>
            </w:r>
          </w:p>
        </w:tc>
        <w:tc>
          <w:tcPr>
            <w:tcW w:w="2407" w:type="dxa"/>
            <w:vAlign w:val="center"/>
          </w:tcPr>
          <w:p w14:paraId="19274212" w14:textId="78A4ADC6" w:rsidR="0024570C" w:rsidRPr="002516B6" w:rsidRDefault="0024570C" w:rsidP="0024570C">
            <w:pPr>
              <w:pStyle w:val="Lijstalinea"/>
              <w:ind w:left="0"/>
              <w:jc w:val="right"/>
              <w:rPr>
                <w:rFonts w:ascii="Rockwell" w:hAnsi="Rockwell"/>
              </w:rPr>
            </w:pPr>
            <w:r w:rsidRPr="002516B6">
              <w:rPr>
                <w:rFonts w:ascii="Rockwell" w:hAnsi="Rockwell"/>
              </w:rPr>
              <w:t>€ 3</w:t>
            </w:r>
            <w:r w:rsidR="00EA1CB1">
              <w:rPr>
                <w:rFonts w:ascii="Rockwell" w:hAnsi="Rockwell"/>
              </w:rPr>
              <w:t>9</w:t>
            </w:r>
            <w:r w:rsidRPr="002516B6">
              <w:rPr>
                <w:rFonts w:ascii="Rockwell" w:hAnsi="Rockwell"/>
              </w:rPr>
              <w:t>0,00</w:t>
            </w:r>
          </w:p>
        </w:tc>
      </w:tr>
      <w:tr w:rsidR="0024570C" w:rsidRPr="002516B6" w14:paraId="0AEF7058" w14:textId="77777777" w:rsidTr="00615414">
        <w:trPr>
          <w:trHeight w:val="454"/>
        </w:trPr>
        <w:tc>
          <w:tcPr>
            <w:tcW w:w="7797" w:type="dxa"/>
            <w:gridSpan w:val="4"/>
            <w:vAlign w:val="center"/>
          </w:tcPr>
          <w:p w14:paraId="32986827" w14:textId="77777777" w:rsidR="0024570C" w:rsidRPr="002516B6" w:rsidRDefault="0024570C" w:rsidP="0024570C">
            <w:pPr>
              <w:pStyle w:val="Lijstalinea"/>
              <w:ind w:left="0"/>
              <w:jc w:val="both"/>
              <w:rPr>
                <w:rFonts w:ascii="Rockwell" w:hAnsi="Rockwell"/>
              </w:rPr>
            </w:pPr>
            <w:r w:rsidRPr="002516B6">
              <w:rPr>
                <w:rFonts w:ascii="Rockwell" w:hAnsi="Rockwell"/>
              </w:rPr>
              <w:t>Viertal tweede nationale</w:t>
            </w:r>
          </w:p>
        </w:tc>
        <w:tc>
          <w:tcPr>
            <w:tcW w:w="2407" w:type="dxa"/>
            <w:vAlign w:val="center"/>
          </w:tcPr>
          <w:p w14:paraId="1BE06781" w14:textId="2CF19430" w:rsidR="0024570C" w:rsidRPr="002516B6" w:rsidRDefault="0024570C" w:rsidP="0024570C">
            <w:pPr>
              <w:pStyle w:val="Lijstalinea"/>
              <w:ind w:left="0"/>
              <w:jc w:val="right"/>
              <w:rPr>
                <w:rFonts w:ascii="Rockwell" w:hAnsi="Rockwell"/>
              </w:rPr>
            </w:pPr>
            <w:r w:rsidRPr="002516B6">
              <w:rPr>
                <w:rFonts w:ascii="Rockwell" w:hAnsi="Rockwell"/>
              </w:rPr>
              <w:t>€ 3</w:t>
            </w:r>
            <w:r w:rsidR="00EA1CB1">
              <w:rPr>
                <w:rFonts w:ascii="Rockwell" w:hAnsi="Rockwell"/>
              </w:rPr>
              <w:t>4</w:t>
            </w:r>
            <w:r w:rsidRPr="002516B6">
              <w:rPr>
                <w:rFonts w:ascii="Rockwell" w:hAnsi="Rockwell"/>
              </w:rPr>
              <w:t>0,00</w:t>
            </w:r>
          </w:p>
        </w:tc>
      </w:tr>
      <w:tr w:rsidR="0024570C" w:rsidRPr="002516B6" w14:paraId="3FBEEC30" w14:textId="77777777" w:rsidTr="00615414">
        <w:trPr>
          <w:trHeight w:val="454"/>
        </w:trPr>
        <w:tc>
          <w:tcPr>
            <w:tcW w:w="7797" w:type="dxa"/>
            <w:gridSpan w:val="4"/>
            <w:vAlign w:val="center"/>
          </w:tcPr>
          <w:p w14:paraId="1EB5A774" w14:textId="77777777" w:rsidR="0024570C" w:rsidRPr="002516B6" w:rsidRDefault="0024570C" w:rsidP="0024570C">
            <w:pPr>
              <w:pStyle w:val="Lijstalinea"/>
              <w:ind w:left="0"/>
              <w:jc w:val="both"/>
              <w:rPr>
                <w:rFonts w:ascii="Rockwell" w:hAnsi="Rockwell"/>
              </w:rPr>
            </w:pPr>
            <w:r w:rsidRPr="002516B6">
              <w:rPr>
                <w:rFonts w:ascii="Rockwell" w:hAnsi="Rockwell"/>
              </w:rPr>
              <w:t>Viertal derde nationale</w:t>
            </w:r>
          </w:p>
        </w:tc>
        <w:tc>
          <w:tcPr>
            <w:tcW w:w="2407" w:type="dxa"/>
            <w:vAlign w:val="center"/>
          </w:tcPr>
          <w:p w14:paraId="39E5CB8E" w14:textId="7195C812" w:rsidR="0024570C" w:rsidRPr="002516B6" w:rsidRDefault="0024570C" w:rsidP="0024570C">
            <w:pPr>
              <w:pStyle w:val="Lijstalinea"/>
              <w:ind w:left="0"/>
              <w:jc w:val="right"/>
              <w:rPr>
                <w:rFonts w:ascii="Rockwell" w:hAnsi="Rockwell"/>
              </w:rPr>
            </w:pPr>
            <w:r w:rsidRPr="002516B6">
              <w:rPr>
                <w:rFonts w:ascii="Rockwell" w:hAnsi="Rockwell"/>
              </w:rPr>
              <w:t xml:space="preserve">€ </w:t>
            </w:r>
            <w:r w:rsidR="00EA1CB1">
              <w:rPr>
                <w:rFonts w:ascii="Rockwell" w:hAnsi="Rockwell"/>
              </w:rPr>
              <w:t>30</w:t>
            </w:r>
            <w:r w:rsidRPr="002516B6">
              <w:rPr>
                <w:rFonts w:ascii="Rockwell" w:hAnsi="Rockwell"/>
              </w:rPr>
              <w:t>0,00</w:t>
            </w:r>
          </w:p>
        </w:tc>
      </w:tr>
      <w:tr w:rsidR="00F432CE" w:rsidRPr="00F432CE" w14:paraId="4FE0F590" w14:textId="77777777" w:rsidTr="00615414">
        <w:trPr>
          <w:trHeight w:val="454"/>
        </w:trPr>
        <w:tc>
          <w:tcPr>
            <w:tcW w:w="7797" w:type="dxa"/>
            <w:gridSpan w:val="4"/>
            <w:vAlign w:val="center"/>
          </w:tcPr>
          <w:p w14:paraId="1A77D2F8" w14:textId="30FFBF63" w:rsidR="0024570C" w:rsidRPr="00F432CE" w:rsidRDefault="0024570C" w:rsidP="0024570C">
            <w:pPr>
              <w:pStyle w:val="Lijstalinea"/>
              <w:ind w:left="0"/>
              <w:jc w:val="both"/>
              <w:rPr>
                <w:rFonts w:ascii="Rockwell" w:hAnsi="Rockwell"/>
                <w:color w:val="000000" w:themeColor="text1"/>
              </w:rPr>
            </w:pPr>
            <w:r w:rsidRPr="00F432CE">
              <w:rPr>
                <w:rFonts w:ascii="Rockwell" w:hAnsi="Rockwell"/>
                <w:color w:val="000000" w:themeColor="text1"/>
              </w:rPr>
              <w:lastRenderedPageBreak/>
              <w:t xml:space="preserve">Viertal eerste </w:t>
            </w:r>
            <w:r w:rsidR="00763BC8">
              <w:rPr>
                <w:rFonts w:ascii="Rockwell" w:hAnsi="Rockwell"/>
                <w:color w:val="000000" w:themeColor="text1"/>
              </w:rPr>
              <w:t>liga</w:t>
            </w:r>
          </w:p>
        </w:tc>
        <w:tc>
          <w:tcPr>
            <w:tcW w:w="2407" w:type="dxa"/>
            <w:vAlign w:val="center"/>
          </w:tcPr>
          <w:p w14:paraId="01E52C4B" w14:textId="77777777" w:rsidR="0024570C" w:rsidRPr="00F432CE" w:rsidRDefault="0024570C" w:rsidP="0024570C">
            <w:pPr>
              <w:pStyle w:val="Lijstalinea"/>
              <w:ind w:left="0"/>
              <w:jc w:val="right"/>
              <w:rPr>
                <w:rFonts w:ascii="Rockwell" w:hAnsi="Rockwell"/>
                <w:color w:val="000000" w:themeColor="text1"/>
              </w:rPr>
            </w:pPr>
            <w:r w:rsidRPr="00F432CE">
              <w:rPr>
                <w:rFonts w:ascii="Rockwell" w:hAnsi="Rockwell"/>
                <w:color w:val="000000" w:themeColor="text1"/>
              </w:rPr>
              <w:t>€ 205,00</w:t>
            </w:r>
          </w:p>
        </w:tc>
      </w:tr>
      <w:tr w:rsidR="00F432CE" w:rsidRPr="00F432CE" w14:paraId="526B9694" w14:textId="77777777" w:rsidTr="00615414">
        <w:trPr>
          <w:trHeight w:val="454"/>
        </w:trPr>
        <w:tc>
          <w:tcPr>
            <w:tcW w:w="7797" w:type="dxa"/>
            <w:gridSpan w:val="4"/>
            <w:vAlign w:val="center"/>
          </w:tcPr>
          <w:p w14:paraId="3B63E164" w14:textId="1CDB17E0" w:rsidR="00314816" w:rsidRPr="00F432CE" w:rsidRDefault="00314816" w:rsidP="0024570C">
            <w:pPr>
              <w:pStyle w:val="Lijstalinea"/>
              <w:ind w:left="0"/>
              <w:jc w:val="both"/>
              <w:rPr>
                <w:rFonts w:ascii="Rockwell" w:hAnsi="Rockwell"/>
                <w:color w:val="000000" w:themeColor="text1"/>
              </w:rPr>
            </w:pPr>
            <w:r w:rsidRPr="00F432CE">
              <w:rPr>
                <w:rFonts w:ascii="Rockwell" w:hAnsi="Rockwell"/>
                <w:color w:val="000000" w:themeColor="text1"/>
              </w:rPr>
              <w:t>Viertal tweede liga</w:t>
            </w:r>
          </w:p>
        </w:tc>
        <w:tc>
          <w:tcPr>
            <w:tcW w:w="2407" w:type="dxa"/>
            <w:vAlign w:val="center"/>
          </w:tcPr>
          <w:p w14:paraId="01CA8C0E" w14:textId="1F5A5E22" w:rsidR="00314816" w:rsidRPr="00F432CE" w:rsidRDefault="009959DE" w:rsidP="0024570C">
            <w:pPr>
              <w:pStyle w:val="Lijstalinea"/>
              <w:ind w:left="0"/>
              <w:jc w:val="right"/>
              <w:rPr>
                <w:rFonts w:ascii="Rockwell" w:hAnsi="Rockwell"/>
                <w:color w:val="000000" w:themeColor="text1"/>
              </w:rPr>
            </w:pPr>
            <w:r w:rsidRPr="00F432CE">
              <w:rPr>
                <w:rFonts w:ascii="Rockwell" w:hAnsi="Rockwell"/>
                <w:color w:val="000000" w:themeColor="text1"/>
              </w:rPr>
              <w:t xml:space="preserve">€ </w:t>
            </w:r>
            <w:r w:rsidR="004D08FB">
              <w:rPr>
                <w:rFonts w:ascii="Rockwell" w:hAnsi="Rockwell"/>
                <w:color w:val="000000" w:themeColor="text1"/>
              </w:rPr>
              <w:t>15</w:t>
            </w:r>
            <w:r w:rsidR="00314816" w:rsidRPr="00F432CE">
              <w:rPr>
                <w:rFonts w:ascii="Rockwell" w:hAnsi="Rockwell"/>
                <w:color w:val="000000" w:themeColor="text1"/>
              </w:rPr>
              <w:t>5,00</w:t>
            </w:r>
          </w:p>
        </w:tc>
      </w:tr>
      <w:tr w:rsidR="00F432CE" w:rsidRPr="00F432CE" w14:paraId="6F9CD36F" w14:textId="77777777" w:rsidTr="00615414">
        <w:trPr>
          <w:trHeight w:val="454"/>
        </w:trPr>
        <w:tc>
          <w:tcPr>
            <w:tcW w:w="7797" w:type="dxa"/>
            <w:gridSpan w:val="4"/>
            <w:vAlign w:val="center"/>
          </w:tcPr>
          <w:p w14:paraId="043977A0" w14:textId="74995535" w:rsidR="0024570C" w:rsidRPr="00F432CE" w:rsidRDefault="0024570C" w:rsidP="0024570C">
            <w:pPr>
              <w:pStyle w:val="Lijstalinea"/>
              <w:ind w:left="0"/>
              <w:jc w:val="both"/>
              <w:rPr>
                <w:rFonts w:ascii="Rockwell" w:hAnsi="Rockwell"/>
                <w:color w:val="000000" w:themeColor="text1"/>
              </w:rPr>
            </w:pPr>
            <w:r w:rsidRPr="00F432CE">
              <w:rPr>
                <w:rFonts w:ascii="Rockwell" w:hAnsi="Rockwell"/>
                <w:color w:val="000000" w:themeColor="text1"/>
              </w:rPr>
              <w:t>Viertal derde liga</w:t>
            </w:r>
          </w:p>
        </w:tc>
        <w:tc>
          <w:tcPr>
            <w:tcW w:w="2407" w:type="dxa"/>
            <w:vAlign w:val="center"/>
          </w:tcPr>
          <w:p w14:paraId="2BAEE53B" w14:textId="7DC827AA" w:rsidR="0024570C" w:rsidRPr="00F432CE" w:rsidRDefault="0024570C" w:rsidP="0024570C">
            <w:pPr>
              <w:pStyle w:val="Lijstalinea"/>
              <w:ind w:left="0"/>
              <w:jc w:val="right"/>
              <w:rPr>
                <w:rFonts w:ascii="Rockwell" w:hAnsi="Rockwell"/>
                <w:color w:val="000000" w:themeColor="text1"/>
              </w:rPr>
            </w:pPr>
            <w:r w:rsidRPr="00F432CE">
              <w:rPr>
                <w:rFonts w:ascii="Rockwell" w:hAnsi="Rockwell"/>
                <w:color w:val="000000" w:themeColor="text1"/>
              </w:rPr>
              <w:t>€ 1</w:t>
            </w:r>
            <w:r w:rsidR="00BA0340">
              <w:rPr>
                <w:rFonts w:ascii="Rockwell" w:hAnsi="Rockwell"/>
                <w:color w:val="000000" w:themeColor="text1"/>
              </w:rPr>
              <w:t>5</w:t>
            </w:r>
            <w:r w:rsidRPr="00F432CE">
              <w:rPr>
                <w:rFonts w:ascii="Rockwell" w:hAnsi="Rockwell"/>
                <w:color w:val="000000" w:themeColor="text1"/>
              </w:rPr>
              <w:t>5,00</w:t>
            </w:r>
          </w:p>
        </w:tc>
      </w:tr>
      <w:tr w:rsidR="0024570C" w:rsidRPr="002516B6" w14:paraId="4FB04EE5" w14:textId="77777777" w:rsidTr="00615414">
        <w:trPr>
          <w:trHeight w:val="454"/>
        </w:trPr>
        <w:tc>
          <w:tcPr>
            <w:tcW w:w="7797" w:type="dxa"/>
            <w:gridSpan w:val="4"/>
            <w:tcBorders>
              <w:bottom w:val="single" w:sz="4" w:space="0" w:color="auto"/>
            </w:tcBorders>
            <w:vAlign w:val="center"/>
          </w:tcPr>
          <w:p w14:paraId="6E6842B5" w14:textId="77777777" w:rsidR="0024570C" w:rsidRPr="002516B6" w:rsidRDefault="0024570C" w:rsidP="0024570C">
            <w:pPr>
              <w:pStyle w:val="Lijstalinea"/>
              <w:ind w:left="0"/>
              <w:jc w:val="both"/>
              <w:rPr>
                <w:rFonts w:ascii="Rockwell" w:hAnsi="Rockwell"/>
              </w:rPr>
            </w:pPr>
            <w:r w:rsidRPr="002516B6">
              <w:rPr>
                <w:rFonts w:ascii="Rockwell" w:hAnsi="Rockwell"/>
              </w:rPr>
              <w:t>Een nieuw team voor het eerste seizoen: (behalve indien gevormd met een teamtransfer, dus overgedragen door een andere club)</w:t>
            </w:r>
          </w:p>
        </w:tc>
        <w:tc>
          <w:tcPr>
            <w:tcW w:w="2407" w:type="dxa"/>
            <w:tcBorders>
              <w:bottom w:val="single" w:sz="4" w:space="0" w:color="auto"/>
            </w:tcBorders>
            <w:vAlign w:val="center"/>
          </w:tcPr>
          <w:p w14:paraId="30D3FD7C" w14:textId="77777777" w:rsidR="0024570C" w:rsidRPr="002516B6" w:rsidRDefault="0024570C" w:rsidP="0024570C">
            <w:pPr>
              <w:pStyle w:val="Lijstalinea"/>
              <w:ind w:left="0"/>
              <w:jc w:val="right"/>
              <w:rPr>
                <w:rFonts w:ascii="Rockwell" w:hAnsi="Rockwell"/>
              </w:rPr>
            </w:pPr>
            <w:r w:rsidRPr="002516B6">
              <w:rPr>
                <w:rFonts w:ascii="Rockwell" w:hAnsi="Rockwell"/>
              </w:rPr>
              <w:t>€ 0,00</w:t>
            </w:r>
          </w:p>
        </w:tc>
      </w:tr>
      <w:tr w:rsidR="0024570C" w:rsidRPr="002516B6" w14:paraId="319BB2B4" w14:textId="77777777" w:rsidTr="00615414">
        <w:trPr>
          <w:trHeight w:val="454"/>
        </w:trPr>
        <w:tc>
          <w:tcPr>
            <w:tcW w:w="7797" w:type="dxa"/>
            <w:gridSpan w:val="4"/>
            <w:tcBorders>
              <w:top w:val="single" w:sz="4" w:space="0" w:color="auto"/>
              <w:left w:val="nil"/>
              <w:bottom w:val="single" w:sz="4" w:space="0" w:color="auto"/>
              <w:right w:val="nil"/>
            </w:tcBorders>
            <w:vAlign w:val="center"/>
          </w:tcPr>
          <w:p w14:paraId="39CF80A8" w14:textId="77777777" w:rsidR="0024570C" w:rsidRPr="002516B6" w:rsidRDefault="0024570C" w:rsidP="007465C4">
            <w:pPr>
              <w:pStyle w:val="Lijstalinea"/>
              <w:ind w:left="0"/>
              <w:rPr>
                <w:rFonts w:ascii="Rockwell" w:hAnsi="Rockwell"/>
              </w:rPr>
            </w:pPr>
            <w:r w:rsidRPr="002516B6">
              <w:rPr>
                <w:rFonts w:ascii="Rockwell" w:hAnsi="Rockwell"/>
              </w:rPr>
              <w:t>1.2.5. BOETES en andere bijdragen</w:t>
            </w:r>
          </w:p>
        </w:tc>
        <w:tc>
          <w:tcPr>
            <w:tcW w:w="2407" w:type="dxa"/>
            <w:tcBorders>
              <w:top w:val="single" w:sz="4" w:space="0" w:color="auto"/>
              <w:left w:val="nil"/>
              <w:bottom w:val="single" w:sz="4" w:space="0" w:color="auto"/>
              <w:right w:val="nil"/>
            </w:tcBorders>
            <w:vAlign w:val="center"/>
          </w:tcPr>
          <w:p w14:paraId="68878239" w14:textId="77777777" w:rsidR="0024570C" w:rsidRPr="002516B6" w:rsidRDefault="0024570C" w:rsidP="0024570C">
            <w:pPr>
              <w:pStyle w:val="Lijstalinea"/>
              <w:ind w:left="0"/>
              <w:jc w:val="right"/>
              <w:rPr>
                <w:rFonts w:ascii="Rockwell" w:hAnsi="Rockwell"/>
              </w:rPr>
            </w:pPr>
          </w:p>
        </w:tc>
      </w:tr>
      <w:tr w:rsidR="0024570C" w:rsidRPr="002516B6" w14:paraId="16A8FAE2" w14:textId="77777777" w:rsidTr="00615414">
        <w:trPr>
          <w:trHeight w:val="454"/>
        </w:trPr>
        <w:tc>
          <w:tcPr>
            <w:tcW w:w="7797" w:type="dxa"/>
            <w:gridSpan w:val="4"/>
            <w:tcBorders>
              <w:top w:val="single" w:sz="4" w:space="0" w:color="auto"/>
              <w:bottom w:val="single" w:sz="4" w:space="0" w:color="auto"/>
            </w:tcBorders>
            <w:vAlign w:val="center"/>
          </w:tcPr>
          <w:p w14:paraId="3D236FBE" w14:textId="77777777" w:rsidR="0024570C" w:rsidRPr="002516B6" w:rsidRDefault="0024570C" w:rsidP="007465C4">
            <w:pPr>
              <w:pStyle w:val="Lijstalinea"/>
              <w:ind w:left="0"/>
              <w:rPr>
                <w:rFonts w:ascii="Rockwell" w:hAnsi="Rockwell"/>
              </w:rPr>
            </w:pPr>
            <w:r w:rsidRPr="002516B6">
              <w:rPr>
                <w:rFonts w:ascii="Rockwell" w:hAnsi="Rockwell"/>
              </w:rPr>
              <w:t>Instaprecht conform het reglement viertallen</w:t>
            </w:r>
          </w:p>
        </w:tc>
        <w:tc>
          <w:tcPr>
            <w:tcW w:w="2407" w:type="dxa"/>
            <w:tcBorders>
              <w:top w:val="single" w:sz="4" w:space="0" w:color="auto"/>
            </w:tcBorders>
            <w:vAlign w:val="center"/>
          </w:tcPr>
          <w:p w14:paraId="1382A963" w14:textId="77777777" w:rsidR="0024570C" w:rsidRPr="002516B6" w:rsidRDefault="0024570C" w:rsidP="0024570C">
            <w:pPr>
              <w:pStyle w:val="Lijstalinea"/>
              <w:ind w:left="0"/>
              <w:jc w:val="right"/>
              <w:rPr>
                <w:rFonts w:ascii="Rockwell" w:hAnsi="Rockwell"/>
              </w:rPr>
            </w:pPr>
            <w:r w:rsidRPr="002516B6">
              <w:rPr>
                <w:rFonts w:ascii="Rockwell" w:hAnsi="Rockwell"/>
              </w:rPr>
              <w:t>€ 70,00</w:t>
            </w:r>
          </w:p>
        </w:tc>
      </w:tr>
      <w:tr w:rsidR="0024570C" w:rsidRPr="002516B6" w14:paraId="38612D8B" w14:textId="77777777" w:rsidTr="00615414">
        <w:trPr>
          <w:trHeight w:val="454"/>
        </w:trPr>
        <w:tc>
          <w:tcPr>
            <w:tcW w:w="7797" w:type="dxa"/>
            <w:gridSpan w:val="4"/>
            <w:tcBorders>
              <w:top w:val="single" w:sz="4" w:space="0" w:color="auto"/>
            </w:tcBorders>
            <w:vAlign w:val="center"/>
          </w:tcPr>
          <w:p w14:paraId="6BAD6141" w14:textId="77777777" w:rsidR="0024570C" w:rsidRPr="002516B6" w:rsidRDefault="0024570C" w:rsidP="007465C4">
            <w:pPr>
              <w:pStyle w:val="Lijstalinea"/>
              <w:ind w:left="0"/>
              <w:rPr>
                <w:rFonts w:ascii="Rockwell" w:hAnsi="Rockwell"/>
              </w:rPr>
            </w:pPr>
            <w:r w:rsidRPr="002516B6">
              <w:rPr>
                <w:rFonts w:ascii="Rockwell" w:hAnsi="Rockwell"/>
              </w:rPr>
              <w:t>Administratieve boete conform het reglement viertallen</w:t>
            </w:r>
          </w:p>
        </w:tc>
        <w:tc>
          <w:tcPr>
            <w:tcW w:w="2407" w:type="dxa"/>
            <w:vAlign w:val="center"/>
          </w:tcPr>
          <w:p w14:paraId="7578DA72" w14:textId="77777777" w:rsidR="0024570C" w:rsidRPr="002516B6" w:rsidRDefault="0024570C" w:rsidP="0024570C">
            <w:pPr>
              <w:pStyle w:val="Lijstalinea"/>
              <w:ind w:left="0"/>
              <w:jc w:val="right"/>
              <w:rPr>
                <w:rFonts w:ascii="Rockwell" w:hAnsi="Rockwell"/>
              </w:rPr>
            </w:pPr>
            <w:r w:rsidRPr="002516B6">
              <w:rPr>
                <w:rFonts w:ascii="Rockwell" w:hAnsi="Rockwell"/>
              </w:rPr>
              <w:t>€ 10,00</w:t>
            </w:r>
          </w:p>
        </w:tc>
      </w:tr>
      <w:tr w:rsidR="0024570C" w:rsidRPr="002516B6" w14:paraId="51CA7504" w14:textId="77777777" w:rsidTr="00615414">
        <w:trPr>
          <w:trHeight w:val="454"/>
        </w:trPr>
        <w:tc>
          <w:tcPr>
            <w:tcW w:w="7797" w:type="dxa"/>
            <w:gridSpan w:val="4"/>
            <w:tcBorders>
              <w:bottom w:val="single" w:sz="6" w:space="0" w:color="auto"/>
            </w:tcBorders>
            <w:vAlign w:val="center"/>
          </w:tcPr>
          <w:p w14:paraId="031CF728" w14:textId="77777777" w:rsidR="0024570C" w:rsidRPr="002516B6" w:rsidRDefault="0024570C" w:rsidP="007465C4">
            <w:pPr>
              <w:pStyle w:val="Lijstalinea"/>
              <w:ind w:left="0"/>
              <w:rPr>
                <w:rFonts w:ascii="Rockwell" w:hAnsi="Rockwell"/>
              </w:rPr>
            </w:pPr>
            <w:r w:rsidRPr="002516B6">
              <w:rPr>
                <w:rFonts w:ascii="Rockwell" w:hAnsi="Rockwell"/>
              </w:rPr>
              <w:t>Surplus buitenlands postadres tijdschrift</w:t>
            </w:r>
          </w:p>
        </w:tc>
        <w:tc>
          <w:tcPr>
            <w:tcW w:w="2407" w:type="dxa"/>
            <w:tcBorders>
              <w:bottom w:val="single" w:sz="6" w:space="0" w:color="auto"/>
            </w:tcBorders>
            <w:vAlign w:val="center"/>
          </w:tcPr>
          <w:p w14:paraId="09425BDA" w14:textId="77777777" w:rsidR="0024570C" w:rsidRPr="002516B6" w:rsidRDefault="0024570C" w:rsidP="0024570C">
            <w:pPr>
              <w:pStyle w:val="Lijstalinea"/>
              <w:ind w:left="0"/>
              <w:jc w:val="right"/>
              <w:rPr>
                <w:rFonts w:ascii="Rockwell" w:hAnsi="Rockwell"/>
              </w:rPr>
            </w:pPr>
            <w:r w:rsidRPr="002516B6">
              <w:rPr>
                <w:rFonts w:ascii="Rockwell" w:hAnsi="Rockwell"/>
              </w:rPr>
              <w:t>€ 20,00</w:t>
            </w:r>
          </w:p>
        </w:tc>
      </w:tr>
      <w:tr w:rsidR="0024570C" w:rsidRPr="002516B6" w14:paraId="7D718F13" w14:textId="77777777" w:rsidTr="00615414">
        <w:trPr>
          <w:trHeight w:val="454"/>
        </w:trPr>
        <w:tc>
          <w:tcPr>
            <w:tcW w:w="7797" w:type="dxa"/>
            <w:gridSpan w:val="4"/>
            <w:tcBorders>
              <w:top w:val="single" w:sz="6" w:space="0" w:color="auto"/>
              <w:bottom w:val="single" w:sz="4" w:space="0" w:color="auto"/>
            </w:tcBorders>
            <w:vAlign w:val="center"/>
          </w:tcPr>
          <w:p w14:paraId="5EF7FB79" w14:textId="77777777" w:rsidR="0024570C" w:rsidRPr="002516B6" w:rsidRDefault="0024570C" w:rsidP="007465C4">
            <w:pPr>
              <w:pStyle w:val="Lijstalinea"/>
              <w:ind w:left="0"/>
              <w:rPr>
                <w:rFonts w:ascii="Rockwell" w:hAnsi="Rockwell"/>
              </w:rPr>
            </w:pPr>
            <w:r w:rsidRPr="002516B6">
              <w:rPr>
                <w:rFonts w:ascii="Rockwell" w:hAnsi="Rockwell"/>
              </w:rPr>
              <w:t xml:space="preserve">Administratieve kosten per speler </w:t>
            </w:r>
          </w:p>
        </w:tc>
        <w:tc>
          <w:tcPr>
            <w:tcW w:w="2407" w:type="dxa"/>
            <w:tcBorders>
              <w:top w:val="single" w:sz="6" w:space="0" w:color="auto"/>
              <w:bottom w:val="single" w:sz="4" w:space="0" w:color="auto"/>
            </w:tcBorders>
            <w:vAlign w:val="center"/>
          </w:tcPr>
          <w:p w14:paraId="6A774A7D" w14:textId="77777777" w:rsidR="0024570C" w:rsidRPr="002516B6" w:rsidRDefault="0024570C" w:rsidP="0024570C">
            <w:pPr>
              <w:pStyle w:val="Lijstalinea"/>
              <w:ind w:left="0"/>
              <w:jc w:val="right"/>
              <w:rPr>
                <w:rFonts w:ascii="Rockwell" w:hAnsi="Rockwell"/>
              </w:rPr>
            </w:pPr>
            <w:r w:rsidRPr="002516B6">
              <w:rPr>
                <w:rFonts w:ascii="Rockwell" w:hAnsi="Rockwell"/>
              </w:rPr>
              <w:t>€ 30,00</w:t>
            </w:r>
          </w:p>
        </w:tc>
      </w:tr>
      <w:tr w:rsidR="00980C99" w:rsidRPr="002516B6" w14:paraId="511A3054" w14:textId="77777777" w:rsidTr="00615414">
        <w:trPr>
          <w:trHeight w:val="454"/>
        </w:trPr>
        <w:tc>
          <w:tcPr>
            <w:tcW w:w="7797" w:type="dxa"/>
            <w:gridSpan w:val="4"/>
            <w:tcBorders>
              <w:top w:val="single" w:sz="4" w:space="0" w:color="auto"/>
              <w:left w:val="nil"/>
              <w:bottom w:val="nil"/>
              <w:right w:val="nil"/>
            </w:tcBorders>
            <w:vAlign w:val="bottom"/>
          </w:tcPr>
          <w:p w14:paraId="088ABACD" w14:textId="77777777" w:rsidR="00980C99" w:rsidRPr="002516B6" w:rsidRDefault="00980C99" w:rsidP="007465C4">
            <w:pPr>
              <w:pStyle w:val="Lijstalinea"/>
              <w:ind w:left="0"/>
              <w:rPr>
                <w:rFonts w:ascii="Rockwell" w:hAnsi="Rockwell"/>
                <w:b/>
                <w:u w:val="single"/>
              </w:rPr>
            </w:pPr>
            <w:r w:rsidRPr="002516B6">
              <w:rPr>
                <w:rFonts w:ascii="Rockwell" w:hAnsi="Rockwell"/>
                <w:b/>
                <w:u w:val="single"/>
              </w:rPr>
              <w:t>1.3. BETALINGEN</w:t>
            </w:r>
          </w:p>
        </w:tc>
        <w:tc>
          <w:tcPr>
            <w:tcW w:w="2407" w:type="dxa"/>
            <w:tcBorders>
              <w:top w:val="single" w:sz="4" w:space="0" w:color="auto"/>
              <w:left w:val="nil"/>
              <w:bottom w:val="nil"/>
              <w:right w:val="nil"/>
            </w:tcBorders>
          </w:tcPr>
          <w:p w14:paraId="4D2CF75B" w14:textId="77777777" w:rsidR="00980C99" w:rsidRPr="002516B6" w:rsidRDefault="00980C99" w:rsidP="007465C4">
            <w:pPr>
              <w:pStyle w:val="Lijstalinea"/>
              <w:ind w:left="0"/>
              <w:rPr>
                <w:rFonts w:ascii="Rockwell" w:hAnsi="Rockwell"/>
              </w:rPr>
            </w:pPr>
          </w:p>
        </w:tc>
      </w:tr>
      <w:tr w:rsidR="00980C99" w:rsidRPr="002516B6" w14:paraId="45848334" w14:textId="77777777" w:rsidTr="00615414">
        <w:trPr>
          <w:trHeight w:val="454"/>
        </w:trPr>
        <w:tc>
          <w:tcPr>
            <w:tcW w:w="506" w:type="dxa"/>
            <w:tcBorders>
              <w:top w:val="nil"/>
              <w:left w:val="nil"/>
              <w:bottom w:val="nil"/>
              <w:right w:val="nil"/>
            </w:tcBorders>
          </w:tcPr>
          <w:p w14:paraId="74BCF149" w14:textId="77777777" w:rsidR="00980C99" w:rsidRPr="002516B6" w:rsidRDefault="00980C99" w:rsidP="007465C4">
            <w:pPr>
              <w:pStyle w:val="Lijstalinea"/>
              <w:ind w:left="0"/>
              <w:rPr>
                <w:rFonts w:ascii="Rockwell" w:hAnsi="Rockwell"/>
              </w:rPr>
            </w:pPr>
          </w:p>
        </w:tc>
        <w:tc>
          <w:tcPr>
            <w:tcW w:w="9698" w:type="dxa"/>
            <w:gridSpan w:val="4"/>
            <w:tcBorders>
              <w:top w:val="nil"/>
              <w:left w:val="nil"/>
              <w:bottom w:val="nil"/>
              <w:right w:val="nil"/>
            </w:tcBorders>
          </w:tcPr>
          <w:p w14:paraId="0F817782" w14:textId="77777777" w:rsidR="00980C99" w:rsidRPr="002516B6" w:rsidRDefault="00980C99" w:rsidP="00980C99">
            <w:pPr>
              <w:pStyle w:val="Lijstalinea"/>
              <w:ind w:left="0"/>
              <w:jc w:val="both"/>
              <w:rPr>
                <w:rFonts w:ascii="Rockwell" w:hAnsi="Rockwell"/>
              </w:rPr>
            </w:pPr>
            <w:r w:rsidRPr="002516B6">
              <w:rPr>
                <w:rFonts w:ascii="Rockwell" w:hAnsi="Rockwell"/>
              </w:rPr>
              <w:t>Geen enkele betaling aan de VBL mag spontaan gebeuren. De bijdrage voor clubs en teams worden in de maand juli gefactureerd. De bijdragen voor geregistreerde spelers worden na ontvangst van de ledenlijst gefactureerd. De facturen moeten binnen de maand voldaan worden.</w:t>
            </w:r>
          </w:p>
          <w:p w14:paraId="74D25E9C" w14:textId="77777777" w:rsidR="009A36D2" w:rsidRPr="002516B6" w:rsidRDefault="009A36D2" w:rsidP="00980C99">
            <w:pPr>
              <w:pStyle w:val="Lijstalinea"/>
              <w:ind w:left="0"/>
              <w:jc w:val="both"/>
              <w:rPr>
                <w:rFonts w:ascii="Rockwell" w:hAnsi="Rockwell"/>
              </w:rPr>
            </w:pPr>
          </w:p>
        </w:tc>
      </w:tr>
      <w:tr w:rsidR="00980C99" w:rsidRPr="002516B6" w14:paraId="28214DD9" w14:textId="77777777" w:rsidTr="00615414">
        <w:trPr>
          <w:trHeight w:val="454"/>
        </w:trPr>
        <w:tc>
          <w:tcPr>
            <w:tcW w:w="10204" w:type="dxa"/>
            <w:gridSpan w:val="5"/>
            <w:tcBorders>
              <w:top w:val="nil"/>
              <w:bottom w:val="single" w:sz="4" w:space="0" w:color="auto"/>
            </w:tcBorders>
            <w:shd w:val="clear" w:color="auto" w:fill="404040" w:themeFill="text1" w:themeFillTint="BF"/>
          </w:tcPr>
          <w:p w14:paraId="07AA378A" w14:textId="77777777" w:rsidR="00980C99" w:rsidRPr="006F720A" w:rsidRDefault="00980C99" w:rsidP="00980C99">
            <w:pPr>
              <w:pStyle w:val="Lijstalinea"/>
              <w:numPr>
                <w:ilvl w:val="0"/>
                <w:numId w:val="3"/>
              </w:numPr>
              <w:jc w:val="center"/>
              <w:rPr>
                <w:rFonts w:ascii="Rockwell" w:hAnsi="Rockwell"/>
                <w:b/>
                <w:color w:val="FFFFFF" w:themeColor="background1"/>
                <w:sz w:val="28"/>
                <w:szCs w:val="28"/>
              </w:rPr>
            </w:pPr>
            <w:r w:rsidRPr="006F720A">
              <w:rPr>
                <w:rFonts w:ascii="Rockwell" w:hAnsi="Rockwell"/>
                <w:b/>
                <w:color w:val="FFFFFF" w:themeColor="background1"/>
                <w:sz w:val="28"/>
                <w:szCs w:val="28"/>
              </w:rPr>
              <w:t>OVERZICHT ADMINISTRATIEVE VERPLICHTINGEN</w:t>
            </w:r>
          </w:p>
        </w:tc>
      </w:tr>
      <w:tr w:rsidR="004F725E" w:rsidRPr="002516B6" w14:paraId="378DF25E" w14:textId="77777777" w:rsidTr="00615414">
        <w:trPr>
          <w:trHeight w:val="454"/>
        </w:trPr>
        <w:tc>
          <w:tcPr>
            <w:tcW w:w="1843" w:type="dxa"/>
            <w:gridSpan w:val="2"/>
            <w:tcBorders>
              <w:top w:val="single" w:sz="4" w:space="0" w:color="auto"/>
              <w:left w:val="nil"/>
              <w:bottom w:val="single" w:sz="4" w:space="0" w:color="auto"/>
              <w:right w:val="nil"/>
            </w:tcBorders>
            <w:vAlign w:val="center"/>
          </w:tcPr>
          <w:p w14:paraId="20B457D3" w14:textId="77777777" w:rsidR="004F725E" w:rsidRPr="002516B6" w:rsidRDefault="004F725E" w:rsidP="00CA5FFB">
            <w:pPr>
              <w:pStyle w:val="Lijstalinea"/>
              <w:ind w:left="0"/>
              <w:jc w:val="center"/>
              <w:rPr>
                <w:rFonts w:ascii="Rockwell" w:hAnsi="Rockwell"/>
              </w:rPr>
            </w:pPr>
          </w:p>
        </w:tc>
        <w:tc>
          <w:tcPr>
            <w:tcW w:w="4253" w:type="dxa"/>
            <w:tcBorders>
              <w:top w:val="single" w:sz="4" w:space="0" w:color="auto"/>
              <w:left w:val="nil"/>
              <w:bottom w:val="single" w:sz="4" w:space="0" w:color="auto"/>
              <w:right w:val="nil"/>
            </w:tcBorders>
            <w:vAlign w:val="center"/>
          </w:tcPr>
          <w:p w14:paraId="4199F2E6" w14:textId="77777777" w:rsidR="004F725E" w:rsidRPr="002516B6" w:rsidRDefault="004F725E" w:rsidP="00D32325">
            <w:pPr>
              <w:pStyle w:val="Lijstalinea"/>
              <w:ind w:left="0"/>
              <w:jc w:val="center"/>
              <w:rPr>
                <w:rFonts w:ascii="Rockwell" w:hAnsi="Rockwell"/>
              </w:rPr>
            </w:pPr>
          </w:p>
        </w:tc>
        <w:tc>
          <w:tcPr>
            <w:tcW w:w="4108" w:type="dxa"/>
            <w:gridSpan w:val="2"/>
            <w:tcBorders>
              <w:top w:val="single" w:sz="4" w:space="0" w:color="auto"/>
              <w:left w:val="nil"/>
              <w:bottom w:val="single" w:sz="4" w:space="0" w:color="auto"/>
              <w:right w:val="nil"/>
            </w:tcBorders>
            <w:vAlign w:val="center"/>
          </w:tcPr>
          <w:p w14:paraId="4A0832B4" w14:textId="77777777" w:rsidR="004F725E" w:rsidRPr="002516B6" w:rsidRDefault="004F725E" w:rsidP="00D32325">
            <w:pPr>
              <w:pStyle w:val="Lijstalinea"/>
              <w:ind w:left="0"/>
              <w:jc w:val="center"/>
              <w:rPr>
                <w:rFonts w:ascii="Rockwell" w:hAnsi="Rockwell"/>
              </w:rPr>
            </w:pPr>
          </w:p>
        </w:tc>
      </w:tr>
      <w:tr w:rsidR="005634DD" w:rsidRPr="002516B6" w14:paraId="27E8CC5D" w14:textId="77777777" w:rsidTr="00615414">
        <w:trPr>
          <w:trHeight w:val="454"/>
        </w:trPr>
        <w:tc>
          <w:tcPr>
            <w:tcW w:w="1843" w:type="dxa"/>
            <w:gridSpan w:val="2"/>
            <w:tcBorders>
              <w:top w:val="single" w:sz="4" w:space="0" w:color="auto"/>
            </w:tcBorders>
            <w:vAlign w:val="center"/>
          </w:tcPr>
          <w:p w14:paraId="5B97C4DB" w14:textId="77777777" w:rsidR="005634DD" w:rsidRPr="002516B6" w:rsidRDefault="00CA5FFB" w:rsidP="00CA5FFB">
            <w:pPr>
              <w:pStyle w:val="Lijstalinea"/>
              <w:ind w:left="0"/>
              <w:jc w:val="center"/>
              <w:rPr>
                <w:rFonts w:ascii="Rockwell" w:hAnsi="Rockwell"/>
              </w:rPr>
            </w:pPr>
            <w:r w:rsidRPr="002516B6">
              <w:rPr>
                <w:rFonts w:ascii="Rockwell" w:hAnsi="Rockwell"/>
              </w:rPr>
              <w:t>Uiterste datum</w:t>
            </w:r>
          </w:p>
        </w:tc>
        <w:tc>
          <w:tcPr>
            <w:tcW w:w="4253" w:type="dxa"/>
            <w:tcBorders>
              <w:top w:val="single" w:sz="4" w:space="0" w:color="auto"/>
            </w:tcBorders>
            <w:vAlign w:val="center"/>
          </w:tcPr>
          <w:p w14:paraId="6867F50D" w14:textId="77777777" w:rsidR="005634DD" w:rsidRPr="002516B6" w:rsidRDefault="00CA5FFB" w:rsidP="00D32325">
            <w:pPr>
              <w:pStyle w:val="Lijstalinea"/>
              <w:ind w:left="0"/>
              <w:jc w:val="center"/>
              <w:rPr>
                <w:rFonts w:ascii="Rockwell" w:hAnsi="Rockwell"/>
              </w:rPr>
            </w:pPr>
            <w:r w:rsidRPr="002516B6">
              <w:rPr>
                <w:rFonts w:ascii="Rockwell" w:hAnsi="Rockwell"/>
              </w:rPr>
              <w:t>Gegevens</w:t>
            </w:r>
          </w:p>
        </w:tc>
        <w:tc>
          <w:tcPr>
            <w:tcW w:w="4108" w:type="dxa"/>
            <w:gridSpan w:val="2"/>
            <w:tcBorders>
              <w:top w:val="single" w:sz="4" w:space="0" w:color="auto"/>
            </w:tcBorders>
            <w:vAlign w:val="center"/>
          </w:tcPr>
          <w:p w14:paraId="7730D859" w14:textId="77777777" w:rsidR="005634DD" w:rsidRPr="002516B6" w:rsidRDefault="00CA5FFB" w:rsidP="00D32325">
            <w:pPr>
              <w:pStyle w:val="Lijstalinea"/>
              <w:ind w:left="0"/>
              <w:jc w:val="center"/>
              <w:rPr>
                <w:rFonts w:ascii="Rockwell" w:hAnsi="Rockwell"/>
              </w:rPr>
            </w:pPr>
            <w:r w:rsidRPr="002516B6">
              <w:rPr>
                <w:rFonts w:ascii="Rockwell" w:hAnsi="Rockwell"/>
              </w:rPr>
              <w:t>Hoe overmaken?</w:t>
            </w:r>
          </w:p>
        </w:tc>
      </w:tr>
      <w:tr w:rsidR="00CA5FFB" w:rsidRPr="002516B6" w14:paraId="22A84F2F" w14:textId="77777777" w:rsidTr="00615414">
        <w:trPr>
          <w:trHeight w:val="454"/>
        </w:trPr>
        <w:tc>
          <w:tcPr>
            <w:tcW w:w="1843" w:type="dxa"/>
            <w:gridSpan w:val="2"/>
            <w:vAlign w:val="center"/>
          </w:tcPr>
          <w:p w14:paraId="28F4D358" w14:textId="77777777" w:rsidR="00CA5FFB" w:rsidRPr="002516B6" w:rsidRDefault="00CA5FFB" w:rsidP="00CA5FFB">
            <w:pPr>
              <w:pStyle w:val="Lijstalinea"/>
              <w:ind w:left="0"/>
              <w:rPr>
                <w:rFonts w:ascii="Rockwell" w:hAnsi="Rockwell"/>
              </w:rPr>
            </w:pPr>
            <w:r w:rsidRPr="002516B6">
              <w:rPr>
                <w:rFonts w:ascii="Rockwell" w:hAnsi="Rockwell"/>
              </w:rPr>
              <w:t>1 juni</w:t>
            </w:r>
          </w:p>
        </w:tc>
        <w:tc>
          <w:tcPr>
            <w:tcW w:w="4253" w:type="dxa"/>
            <w:vAlign w:val="center"/>
          </w:tcPr>
          <w:p w14:paraId="535C9C5A" w14:textId="77777777" w:rsidR="00CA5FFB" w:rsidRPr="002516B6" w:rsidRDefault="00CA5FFB" w:rsidP="00CA5FFB">
            <w:pPr>
              <w:pStyle w:val="Lijstalinea"/>
              <w:ind w:left="0"/>
              <w:rPr>
                <w:rFonts w:ascii="Rockwell" w:hAnsi="Rockwell"/>
              </w:rPr>
            </w:pPr>
            <w:r w:rsidRPr="002516B6">
              <w:rPr>
                <w:rFonts w:ascii="Rockwell" w:hAnsi="Rockwell"/>
              </w:rPr>
              <w:t>I</w:t>
            </w:r>
            <w:r w:rsidR="00D32325" w:rsidRPr="002516B6">
              <w:rPr>
                <w:rFonts w:ascii="Rockwell" w:hAnsi="Rockwell"/>
              </w:rPr>
              <w:t>NSCHRIJVING NIEUWE CLUB OF WIJZIGING BESTAANDE GEGEVENS</w:t>
            </w:r>
            <w:r w:rsidRPr="002516B6">
              <w:rPr>
                <w:rFonts w:ascii="Rockwell" w:hAnsi="Rockwell"/>
              </w:rPr>
              <w:t xml:space="preserve"> </w:t>
            </w:r>
          </w:p>
          <w:p w14:paraId="22E70A2E" w14:textId="77777777" w:rsidR="00CA5FFB" w:rsidRPr="002516B6" w:rsidRDefault="00CA5FFB" w:rsidP="00CA5FFB">
            <w:pPr>
              <w:pStyle w:val="Lijstalinea"/>
              <w:ind w:left="0"/>
              <w:rPr>
                <w:rFonts w:ascii="Rockwell" w:hAnsi="Rockwell"/>
              </w:rPr>
            </w:pPr>
            <w:r w:rsidRPr="002516B6">
              <w:rPr>
                <w:rFonts w:ascii="Rockwell" w:hAnsi="Rockwell"/>
              </w:rPr>
              <w:t>Inschrijvingsformulier club</w:t>
            </w:r>
          </w:p>
        </w:tc>
        <w:tc>
          <w:tcPr>
            <w:tcW w:w="4108" w:type="dxa"/>
            <w:gridSpan w:val="2"/>
            <w:vAlign w:val="center"/>
          </w:tcPr>
          <w:p w14:paraId="147E4641" w14:textId="77777777" w:rsidR="00CA5FFB" w:rsidRPr="002516B6" w:rsidRDefault="00CA5FFB" w:rsidP="00D32325">
            <w:pPr>
              <w:pStyle w:val="Lijstalinea"/>
              <w:ind w:left="0"/>
              <w:rPr>
                <w:rFonts w:ascii="Rockwell" w:hAnsi="Rockwell"/>
              </w:rPr>
            </w:pPr>
            <w:r w:rsidRPr="002516B6">
              <w:rPr>
                <w:rFonts w:ascii="Rockwell" w:hAnsi="Rockwell"/>
              </w:rPr>
              <w:t>Bij voorkeur melden via website VBL</w:t>
            </w:r>
          </w:p>
          <w:p w14:paraId="4B59E04A" w14:textId="77777777" w:rsidR="00D32325" w:rsidRPr="002516B6" w:rsidRDefault="00D32325" w:rsidP="00D32325">
            <w:pPr>
              <w:pStyle w:val="Lijstalinea"/>
              <w:ind w:left="0"/>
              <w:rPr>
                <w:rFonts w:ascii="Rockwell" w:hAnsi="Rockwell"/>
              </w:rPr>
            </w:pPr>
          </w:p>
          <w:p w14:paraId="51FE44F5" w14:textId="77777777" w:rsidR="00CA5FFB" w:rsidRPr="002516B6" w:rsidRDefault="00CA5FFB" w:rsidP="00D32325">
            <w:pPr>
              <w:pStyle w:val="Lijstalinea"/>
              <w:ind w:left="0"/>
              <w:rPr>
                <w:rFonts w:ascii="Rockwell" w:hAnsi="Rockwell"/>
              </w:rPr>
            </w:pPr>
            <w:r w:rsidRPr="002516B6">
              <w:rPr>
                <w:rFonts w:ascii="Rockwell" w:hAnsi="Rockwell"/>
              </w:rPr>
              <w:t>Versturen naar VBL-secretariaat</w:t>
            </w:r>
          </w:p>
        </w:tc>
      </w:tr>
      <w:tr w:rsidR="00CA5FFB" w:rsidRPr="002516B6" w14:paraId="2FA26210" w14:textId="77777777" w:rsidTr="00615414">
        <w:trPr>
          <w:trHeight w:val="454"/>
        </w:trPr>
        <w:tc>
          <w:tcPr>
            <w:tcW w:w="1843" w:type="dxa"/>
            <w:gridSpan w:val="2"/>
            <w:vAlign w:val="center"/>
          </w:tcPr>
          <w:p w14:paraId="2DF2924C" w14:textId="77777777" w:rsidR="00CA5FFB" w:rsidRPr="002516B6" w:rsidRDefault="00CA5FFB" w:rsidP="00CA5FFB">
            <w:pPr>
              <w:pStyle w:val="Lijstalinea"/>
              <w:ind w:left="0"/>
              <w:rPr>
                <w:rFonts w:ascii="Rockwell" w:hAnsi="Rockwell"/>
              </w:rPr>
            </w:pPr>
            <w:r w:rsidRPr="002516B6">
              <w:rPr>
                <w:rFonts w:ascii="Rockwell" w:hAnsi="Rockwell"/>
              </w:rPr>
              <w:t>1 juni</w:t>
            </w:r>
          </w:p>
        </w:tc>
        <w:tc>
          <w:tcPr>
            <w:tcW w:w="4253" w:type="dxa"/>
            <w:vAlign w:val="center"/>
          </w:tcPr>
          <w:p w14:paraId="4DE32761" w14:textId="77777777" w:rsidR="00CA5FFB" w:rsidRPr="002516B6" w:rsidRDefault="00D32325" w:rsidP="00D32325">
            <w:pPr>
              <w:pStyle w:val="Lijstalinea"/>
              <w:ind w:left="0"/>
              <w:rPr>
                <w:rFonts w:ascii="Rockwell" w:hAnsi="Rockwell"/>
              </w:rPr>
            </w:pPr>
            <w:r w:rsidRPr="002516B6">
              <w:rPr>
                <w:rFonts w:ascii="Rockwell" w:hAnsi="Rockwell"/>
              </w:rPr>
              <w:t>INSCHRIJVING VIERTALLEN naam van het team, afdeling, adres + telefoon lokaal – naam, telefoon + email kapitein</w:t>
            </w:r>
          </w:p>
        </w:tc>
        <w:tc>
          <w:tcPr>
            <w:tcW w:w="4108" w:type="dxa"/>
            <w:gridSpan w:val="2"/>
            <w:vAlign w:val="center"/>
          </w:tcPr>
          <w:p w14:paraId="1E6A8FCE" w14:textId="77777777" w:rsidR="00CA5FFB" w:rsidRPr="002516B6" w:rsidRDefault="00D32325" w:rsidP="00D32325">
            <w:pPr>
              <w:pStyle w:val="Lijstalinea"/>
              <w:ind w:left="0"/>
              <w:rPr>
                <w:rFonts w:ascii="Rockwell" w:hAnsi="Rockwell"/>
              </w:rPr>
            </w:pPr>
            <w:r w:rsidRPr="002516B6">
              <w:rPr>
                <w:rFonts w:ascii="Rockwell" w:hAnsi="Rockwell"/>
              </w:rPr>
              <w:t>Voor alle nationale afdelingen via de website van de KBBF</w:t>
            </w:r>
          </w:p>
          <w:p w14:paraId="791B83F6" w14:textId="77777777" w:rsidR="00D32325" w:rsidRPr="002516B6" w:rsidRDefault="00D32325" w:rsidP="00D32325">
            <w:pPr>
              <w:pStyle w:val="Lijstalinea"/>
              <w:ind w:left="0"/>
              <w:rPr>
                <w:rFonts w:ascii="Rockwell" w:hAnsi="Rockwell"/>
              </w:rPr>
            </w:pPr>
            <w:r w:rsidRPr="002516B6">
              <w:rPr>
                <w:rFonts w:ascii="Rockwell" w:hAnsi="Rockwell"/>
              </w:rPr>
              <w:t>Voor alle liga afdelingen via de website van de VBL</w:t>
            </w:r>
          </w:p>
        </w:tc>
      </w:tr>
      <w:tr w:rsidR="00CA5FFB" w:rsidRPr="002516B6" w14:paraId="36EE8A47" w14:textId="77777777" w:rsidTr="00615414">
        <w:trPr>
          <w:trHeight w:val="454"/>
        </w:trPr>
        <w:tc>
          <w:tcPr>
            <w:tcW w:w="1843" w:type="dxa"/>
            <w:gridSpan w:val="2"/>
            <w:vAlign w:val="center"/>
          </w:tcPr>
          <w:p w14:paraId="0398D6A9" w14:textId="77777777" w:rsidR="00CA5FFB" w:rsidRPr="002516B6" w:rsidRDefault="00CA5FFB" w:rsidP="00CA5FFB">
            <w:pPr>
              <w:pStyle w:val="Lijstalinea"/>
              <w:ind w:left="0"/>
              <w:rPr>
                <w:rFonts w:ascii="Rockwell" w:hAnsi="Rockwell"/>
              </w:rPr>
            </w:pPr>
            <w:r w:rsidRPr="002516B6">
              <w:rPr>
                <w:rFonts w:ascii="Rockwell" w:hAnsi="Rockwell"/>
              </w:rPr>
              <w:t>1 september</w:t>
            </w:r>
          </w:p>
        </w:tc>
        <w:tc>
          <w:tcPr>
            <w:tcW w:w="4253" w:type="dxa"/>
            <w:vAlign w:val="center"/>
          </w:tcPr>
          <w:p w14:paraId="196FB284" w14:textId="77777777" w:rsidR="00CA5FFB" w:rsidRPr="002516B6" w:rsidRDefault="00D32325" w:rsidP="00D32325">
            <w:pPr>
              <w:pStyle w:val="Lijstalinea"/>
              <w:ind w:left="0"/>
              <w:rPr>
                <w:rFonts w:ascii="Rockwell" w:hAnsi="Rockwell"/>
              </w:rPr>
            </w:pPr>
            <w:r w:rsidRPr="002516B6">
              <w:rPr>
                <w:rFonts w:ascii="Rockwell" w:hAnsi="Rockwell"/>
              </w:rPr>
              <w:t>GEREGISTREERDE SPELERS</w:t>
            </w:r>
          </w:p>
          <w:p w14:paraId="6D20305E" w14:textId="77777777" w:rsidR="00D32325" w:rsidRPr="002516B6" w:rsidRDefault="00D32325" w:rsidP="00D32325">
            <w:pPr>
              <w:pStyle w:val="Lijstalinea"/>
              <w:ind w:left="0"/>
              <w:rPr>
                <w:rFonts w:ascii="Rockwell" w:hAnsi="Rockwell"/>
              </w:rPr>
            </w:pPr>
            <w:r w:rsidRPr="002516B6">
              <w:rPr>
                <w:rFonts w:ascii="Rockwell" w:hAnsi="Rockwell"/>
              </w:rPr>
              <w:t>Lijst met ALLE geregistreerde spelers die lid zijn van de club</w:t>
            </w:r>
          </w:p>
        </w:tc>
        <w:tc>
          <w:tcPr>
            <w:tcW w:w="4108" w:type="dxa"/>
            <w:gridSpan w:val="2"/>
            <w:vAlign w:val="center"/>
          </w:tcPr>
          <w:p w14:paraId="06EC6BC1" w14:textId="77777777" w:rsidR="00CA5FFB" w:rsidRPr="002516B6" w:rsidRDefault="00D32325" w:rsidP="00D32325">
            <w:pPr>
              <w:pStyle w:val="Lijstalinea"/>
              <w:ind w:left="0"/>
              <w:rPr>
                <w:rFonts w:ascii="Rockwell" w:hAnsi="Rockwell"/>
              </w:rPr>
            </w:pPr>
            <w:r w:rsidRPr="002516B6">
              <w:rPr>
                <w:rFonts w:ascii="Rockwell" w:hAnsi="Rockwell"/>
              </w:rPr>
              <w:t xml:space="preserve">Versturen naar VBL-secretariaat of aanpassen via de website van de VBL </w:t>
            </w:r>
          </w:p>
        </w:tc>
      </w:tr>
    </w:tbl>
    <w:p w14:paraId="783BA459" w14:textId="77777777" w:rsidR="007465C4" w:rsidRPr="007465C4" w:rsidRDefault="007465C4" w:rsidP="007465C4">
      <w:pPr>
        <w:rPr>
          <w:rFonts w:ascii="Barlow Medium" w:hAnsi="Barlow Medium"/>
          <w:sz w:val="24"/>
          <w:szCs w:val="24"/>
          <w:u w:val="single"/>
        </w:rPr>
      </w:pPr>
    </w:p>
    <w:p w14:paraId="231CF361" w14:textId="77777777" w:rsidR="00051249" w:rsidRPr="00051249" w:rsidRDefault="00051249" w:rsidP="00051249">
      <w:pPr>
        <w:rPr>
          <w:rFonts w:ascii="Barlow Medium" w:hAnsi="Barlow Medium"/>
          <w:sz w:val="24"/>
          <w:szCs w:val="24"/>
          <w:u w:val="single"/>
        </w:rPr>
      </w:pPr>
    </w:p>
    <w:sectPr w:rsidR="00051249" w:rsidRPr="00051249" w:rsidSect="0005124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Calibri"/>
    <w:charset w:val="00"/>
    <w:family w:val="auto"/>
    <w:pitch w:val="variable"/>
    <w:sig w:usb0="20000007" w:usb1="00000000" w:usb2="00000000" w:usb3="00000000" w:csb0="00000193" w:csb1="00000000"/>
  </w:font>
  <w:font w:name="Rockwell">
    <w:panose1 w:val="02060603020205020403"/>
    <w:charset w:val="00"/>
    <w:family w:val="roman"/>
    <w:pitch w:val="variable"/>
    <w:sig w:usb0="00000003" w:usb1="00000000" w:usb2="00000000" w:usb3="00000000" w:csb0="00000001" w:csb1="00000000"/>
  </w:font>
  <w:font w:name="Barlow Medium">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E47"/>
    <w:multiLevelType w:val="multilevel"/>
    <w:tmpl w:val="E618CF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DF66B04"/>
    <w:multiLevelType w:val="multilevel"/>
    <w:tmpl w:val="FB84BA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4416388E"/>
    <w:multiLevelType w:val="hybridMultilevel"/>
    <w:tmpl w:val="58BA37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37190915">
    <w:abstractNumId w:val="1"/>
  </w:num>
  <w:num w:numId="2" w16cid:durableId="282461788">
    <w:abstractNumId w:val="2"/>
  </w:num>
  <w:num w:numId="3" w16cid:durableId="134821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45"/>
    <w:rsid w:val="00051249"/>
    <w:rsid w:val="000D7300"/>
    <w:rsid w:val="000E2988"/>
    <w:rsid w:val="000F0A4C"/>
    <w:rsid w:val="00146E45"/>
    <w:rsid w:val="00185ED5"/>
    <w:rsid w:val="0024570C"/>
    <w:rsid w:val="002516B6"/>
    <w:rsid w:val="002C365D"/>
    <w:rsid w:val="00314816"/>
    <w:rsid w:val="003604C8"/>
    <w:rsid w:val="003D67F6"/>
    <w:rsid w:val="003E6A4B"/>
    <w:rsid w:val="004568E0"/>
    <w:rsid w:val="0048628E"/>
    <w:rsid w:val="004D08FB"/>
    <w:rsid w:val="004F725E"/>
    <w:rsid w:val="005634DD"/>
    <w:rsid w:val="00615414"/>
    <w:rsid w:val="006336E9"/>
    <w:rsid w:val="006F720A"/>
    <w:rsid w:val="00711D4D"/>
    <w:rsid w:val="007147E0"/>
    <w:rsid w:val="00733B57"/>
    <w:rsid w:val="007465C4"/>
    <w:rsid w:val="00763BC8"/>
    <w:rsid w:val="00825C92"/>
    <w:rsid w:val="008B2DD7"/>
    <w:rsid w:val="008B77AB"/>
    <w:rsid w:val="008D746E"/>
    <w:rsid w:val="0091558E"/>
    <w:rsid w:val="00980C99"/>
    <w:rsid w:val="009959DE"/>
    <w:rsid w:val="009A36D2"/>
    <w:rsid w:val="009E2A34"/>
    <w:rsid w:val="00A33483"/>
    <w:rsid w:val="00BA0340"/>
    <w:rsid w:val="00BB248E"/>
    <w:rsid w:val="00C10B18"/>
    <w:rsid w:val="00C93581"/>
    <w:rsid w:val="00CA5FFB"/>
    <w:rsid w:val="00D239FD"/>
    <w:rsid w:val="00D32325"/>
    <w:rsid w:val="00DE08FB"/>
    <w:rsid w:val="00E76CB5"/>
    <w:rsid w:val="00E925C0"/>
    <w:rsid w:val="00EA1CB1"/>
    <w:rsid w:val="00F432CE"/>
    <w:rsid w:val="00F4582D"/>
    <w:rsid w:val="00F501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774"/>
  <w15:chartTrackingRefBased/>
  <w15:docId w15:val="{96BE3928-ADA6-4806-A4A2-594C8ECB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4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51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458</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 Van de Ven</dc:creator>
  <cp:keywords/>
  <dc:description/>
  <cp:lastModifiedBy>Armand Van de Ven</cp:lastModifiedBy>
  <cp:revision>2</cp:revision>
  <cp:lastPrinted>2019-03-19T12:52:00Z</cp:lastPrinted>
  <dcterms:created xsi:type="dcterms:W3CDTF">2023-05-15T08:09:00Z</dcterms:created>
  <dcterms:modified xsi:type="dcterms:W3CDTF">2023-05-15T08:09:00Z</dcterms:modified>
</cp:coreProperties>
</file>